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F7" w:rsidRPr="00400EDD" w:rsidRDefault="002A43F7" w:rsidP="00400EDD">
      <w:pPr>
        <w:spacing w:before="120" w:after="120"/>
        <w:jc w:val="center"/>
        <w:rPr>
          <w:rFonts w:ascii="Tahoma" w:hAnsi="Tahoma" w:cs="Tahoma"/>
          <w:b/>
          <w:bCs/>
          <w:sz w:val="20"/>
          <w:szCs w:val="20"/>
        </w:rPr>
      </w:pPr>
      <w:r w:rsidRPr="00400EDD">
        <w:rPr>
          <w:rFonts w:ascii="Tahoma" w:hAnsi="Tahoma" w:cs="Tahoma"/>
          <w:b/>
          <w:bCs/>
          <w:sz w:val="20"/>
          <w:szCs w:val="20"/>
        </w:rPr>
        <w:t>WYTYCZNE SPORZĄDZANIA PRZEDMIARU I KOSZTORYSU</w:t>
      </w:r>
    </w:p>
    <w:p w:rsidR="002A43F7" w:rsidRPr="004260D8" w:rsidRDefault="002A43F7" w:rsidP="004260D8">
      <w:pPr>
        <w:pStyle w:val="Akapitzlist"/>
        <w:numPr>
          <w:ilvl w:val="0"/>
          <w:numId w:val="1"/>
        </w:numPr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4260D8">
        <w:rPr>
          <w:rFonts w:ascii="Tahoma" w:hAnsi="Tahoma" w:cs="Tahoma"/>
          <w:b/>
          <w:bCs/>
          <w:sz w:val="20"/>
          <w:szCs w:val="20"/>
        </w:rPr>
        <w:t>Podstawa prawna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 xml:space="preserve">Rozporządzenie Ministra Infrastruktury z dnia 18 maja 2004 r. </w:t>
      </w:r>
      <w:r w:rsidRPr="00400EDD">
        <w:rPr>
          <w:rFonts w:ascii="Tahoma" w:hAnsi="Tahoma" w:cs="Tahoma"/>
          <w:color w:val="00062B"/>
          <w:sz w:val="20"/>
          <w:szCs w:val="20"/>
        </w:rPr>
        <w:t>w sprawie okre</w:t>
      </w:r>
      <w:r w:rsidRPr="00400EDD">
        <w:rPr>
          <w:rFonts w:ascii="Tahoma" w:eastAsia="TimesNewRoman" w:hAnsi="Tahoma" w:cs="Tahoma"/>
          <w:color w:val="00062B"/>
          <w:sz w:val="20"/>
          <w:szCs w:val="20"/>
        </w:rPr>
        <w:t>ś</w:t>
      </w:r>
      <w:r w:rsidRPr="00400EDD">
        <w:rPr>
          <w:rFonts w:ascii="Tahoma" w:hAnsi="Tahoma" w:cs="Tahoma"/>
          <w:color w:val="00062B"/>
          <w:sz w:val="20"/>
          <w:szCs w:val="20"/>
        </w:rPr>
        <w:t>lania metod i podstaw sporz</w:t>
      </w:r>
      <w:r w:rsidRPr="00400EDD">
        <w:rPr>
          <w:rFonts w:ascii="Tahoma" w:eastAsia="TimesNewRoman" w:hAnsi="Tahoma" w:cs="Tahoma"/>
          <w:color w:val="00062B"/>
          <w:sz w:val="20"/>
          <w:szCs w:val="20"/>
        </w:rPr>
        <w:t>ą</w:t>
      </w:r>
      <w:r w:rsidRPr="00400EDD">
        <w:rPr>
          <w:rFonts w:ascii="Tahoma" w:hAnsi="Tahoma" w:cs="Tahoma"/>
          <w:color w:val="00062B"/>
          <w:sz w:val="20"/>
          <w:szCs w:val="20"/>
        </w:rPr>
        <w:t>dzania kosztorysu inwestorskiego, obliczania planowanych kosztów prac projektowych oraz planowanych kosztów robót budowlanych okre</w:t>
      </w:r>
      <w:r w:rsidRPr="00400EDD">
        <w:rPr>
          <w:rFonts w:ascii="Tahoma" w:eastAsia="TimesNewRoman" w:hAnsi="Tahoma" w:cs="Tahoma"/>
          <w:color w:val="00062B"/>
          <w:sz w:val="20"/>
          <w:szCs w:val="20"/>
        </w:rPr>
        <w:t>ś</w:t>
      </w:r>
      <w:r w:rsidRPr="00400EDD">
        <w:rPr>
          <w:rFonts w:ascii="Tahoma" w:hAnsi="Tahoma" w:cs="Tahoma"/>
          <w:color w:val="00062B"/>
          <w:sz w:val="20"/>
          <w:szCs w:val="20"/>
        </w:rPr>
        <w:t>lonych w programie funkcjonalno u</w:t>
      </w:r>
      <w:r w:rsidRPr="00400EDD">
        <w:rPr>
          <w:rFonts w:ascii="Tahoma" w:eastAsia="TimesNewRoman" w:hAnsi="Tahoma" w:cs="Tahoma"/>
          <w:color w:val="00062B"/>
          <w:sz w:val="20"/>
          <w:szCs w:val="20"/>
        </w:rPr>
        <w:t>ż</w:t>
      </w:r>
      <w:r w:rsidRPr="00400EDD">
        <w:rPr>
          <w:rFonts w:ascii="Tahoma" w:hAnsi="Tahoma" w:cs="Tahoma"/>
          <w:color w:val="00062B"/>
          <w:sz w:val="20"/>
          <w:szCs w:val="20"/>
        </w:rPr>
        <w:t>ytkowym (Dz. U. Nr 130, poz. 1389)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color w:val="00062B"/>
          <w:sz w:val="20"/>
          <w:szCs w:val="20"/>
        </w:rPr>
        <w:t>Rozporz</w:t>
      </w:r>
      <w:r w:rsidRPr="00400EDD">
        <w:rPr>
          <w:rFonts w:ascii="Tahoma" w:eastAsia="TimesNewRoman,Bold" w:hAnsi="Tahoma" w:cs="Tahoma"/>
          <w:color w:val="00062B"/>
          <w:sz w:val="20"/>
          <w:szCs w:val="20"/>
        </w:rPr>
        <w:t>ą</w:t>
      </w:r>
      <w:r w:rsidRPr="00400EDD">
        <w:rPr>
          <w:rFonts w:ascii="Tahoma" w:hAnsi="Tahoma" w:cs="Tahoma"/>
          <w:color w:val="00062B"/>
          <w:sz w:val="20"/>
          <w:szCs w:val="20"/>
        </w:rPr>
        <w:t>dzenie Ministra Infrastruktury z dnia 2 wrze</w:t>
      </w:r>
      <w:r w:rsidRPr="00400EDD">
        <w:rPr>
          <w:rFonts w:ascii="Tahoma" w:eastAsia="TimesNewRoman,Bold" w:hAnsi="Tahoma" w:cs="Tahoma"/>
          <w:color w:val="00062B"/>
          <w:sz w:val="20"/>
          <w:szCs w:val="20"/>
        </w:rPr>
        <w:t>ś</w:t>
      </w:r>
      <w:r w:rsidRPr="00400EDD">
        <w:rPr>
          <w:rFonts w:ascii="Tahoma" w:hAnsi="Tahoma" w:cs="Tahoma"/>
          <w:color w:val="00062B"/>
          <w:sz w:val="20"/>
          <w:szCs w:val="20"/>
        </w:rPr>
        <w:t>nia 2004 roku w sprawie szczegółowego zakresu i formy dokumentacji projektowej, specyfikacji technicznych wykonania i odbioru robót budowlanych oraz programu funkcjonalno u</w:t>
      </w:r>
      <w:r w:rsidRPr="00400EDD">
        <w:rPr>
          <w:rFonts w:ascii="Tahoma" w:eastAsia="TimesNewRoman" w:hAnsi="Tahoma" w:cs="Tahoma"/>
          <w:color w:val="00062B"/>
          <w:sz w:val="20"/>
          <w:szCs w:val="20"/>
        </w:rPr>
        <w:t>ż</w:t>
      </w:r>
      <w:r w:rsidRPr="00400EDD">
        <w:rPr>
          <w:rFonts w:ascii="Tahoma" w:hAnsi="Tahoma" w:cs="Tahoma"/>
          <w:color w:val="00062B"/>
          <w:sz w:val="20"/>
          <w:szCs w:val="20"/>
        </w:rPr>
        <w:t>ytkowego (Dz. U. Nr 202, poz. 2072)</w:t>
      </w:r>
    </w:p>
    <w:p w:rsidR="002A43F7" w:rsidRPr="004260D8" w:rsidRDefault="002A43F7" w:rsidP="004260D8">
      <w:pPr>
        <w:pStyle w:val="Akapitzlist"/>
        <w:numPr>
          <w:ilvl w:val="0"/>
          <w:numId w:val="1"/>
        </w:numPr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4260D8">
        <w:rPr>
          <w:rFonts w:ascii="Tahoma" w:hAnsi="Tahoma" w:cs="Tahoma"/>
          <w:b/>
          <w:bCs/>
          <w:sz w:val="20"/>
          <w:szCs w:val="20"/>
        </w:rPr>
        <w:t xml:space="preserve">Wytyczne </w:t>
      </w:r>
      <w:r>
        <w:rPr>
          <w:rFonts w:ascii="Tahoma" w:hAnsi="Tahoma" w:cs="Tahoma"/>
          <w:b/>
          <w:bCs/>
          <w:sz w:val="20"/>
          <w:szCs w:val="20"/>
        </w:rPr>
        <w:t xml:space="preserve">sporządzania </w:t>
      </w:r>
      <w:r w:rsidRPr="004260D8">
        <w:rPr>
          <w:rFonts w:ascii="Tahoma" w:hAnsi="Tahoma" w:cs="Tahoma"/>
          <w:b/>
          <w:bCs/>
          <w:sz w:val="20"/>
          <w:szCs w:val="20"/>
        </w:rPr>
        <w:t>przedmiaru robót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Przedmiar wchodzący w skład kosztorysu musi zawierać informacje niezbędne do wyliczenia wartości robót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Przy przedmiarowaniu należy wykorzystać wskazówki zawarte w częściach opisowych do poszczególnych rozdziałów katalogów nakładów rzeczowych, podające zasady przedmiarowania danego rodzaju robót (najczęściej zatytułowane ZASADY PRZEDMIAROWANIA)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Wyszczególnienie robót w pozycji przedmiaru musi odpowiadać faktycznemu zakresowi wykonywanych robót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b/>
          <w:bCs/>
          <w:sz w:val="20"/>
          <w:szCs w:val="20"/>
        </w:rPr>
        <w:t>Niedopuszczalne</w:t>
      </w:r>
      <w:r w:rsidRPr="00400EDD">
        <w:rPr>
          <w:rFonts w:ascii="Tahoma" w:hAnsi="Tahoma" w:cs="Tahoma"/>
          <w:sz w:val="20"/>
          <w:szCs w:val="20"/>
        </w:rPr>
        <w:t xml:space="preserve"> jest często stosowane w praktyce podawanie w przedmiarze robót tylko wyniku końcowego obliczeń ilości robót wstawianie w pozycji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color w:val="161616"/>
          <w:sz w:val="20"/>
          <w:szCs w:val="20"/>
        </w:rPr>
        <w:t>Układ i numeracj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ę </w:t>
      </w:r>
      <w:r w:rsidRPr="00400EDD">
        <w:rPr>
          <w:rFonts w:ascii="Tahoma" w:hAnsi="Tahoma" w:cs="Tahoma"/>
          <w:color w:val="161616"/>
          <w:sz w:val="20"/>
          <w:szCs w:val="20"/>
        </w:rPr>
        <w:t>pozycji przedmiarów nale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y dostosowa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ć </w:t>
      </w:r>
      <w:r w:rsidRPr="00400EDD">
        <w:rPr>
          <w:rFonts w:ascii="Tahoma" w:hAnsi="Tahoma" w:cs="Tahoma"/>
          <w:color w:val="161616"/>
          <w:sz w:val="20"/>
          <w:szCs w:val="20"/>
        </w:rPr>
        <w:t>do planowanej struktury kosztorysów, z podziałem na cz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ęś</w:t>
      </w:r>
      <w:r w:rsidRPr="00400EDD">
        <w:rPr>
          <w:rFonts w:ascii="Tahoma" w:hAnsi="Tahoma" w:cs="Tahoma"/>
          <w:color w:val="161616"/>
          <w:sz w:val="20"/>
          <w:szCs w:val="20"/>
        </w:rPr>
        <w:t>ci i rozdziały; roboty w pozycjach przedmiaru nale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y grupowa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ć </w:t>
      </w:r>
      <w:r w:rsidRPr="00400EDD">
        <w:rPr>
          <w:rFonts w:ascii="Tahoma" w:hAnsi="Tahoma" w:cs="Tahoma"/>
          <w:color w:val="161616"/>
          <w:sz w:val="20"/>
          <w:szCs w:val="20"/>
        </w:rPr>
        <w:t>według wyró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niaj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ą</w:t>
      </w:r>
      <w:r w:rsidRPr="00400EDD">
        <w:rPr>
          <w:rFonts w:ascii="Tahoma" w:hAnsi="Tahoma" w:cs="Tahoma"/>
          <w:color w:val="161616"/>
          <w:sz w:val="20"/>
          <w:szCs w:val="20"/>
        </w:rPr>
        <w:t>cych je cech naturalnych, miejsca wykonania, kolejno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ci wykonania, metod wykonania i innych cech, powoduj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ą</w:t>
      </w:r>
      <w:r w:rsidRPr="00400EDD">
        <w:rPr>
          <w:rFonts w:ascii="Tahoma" w:hAnsi="Tahoma" w:cs="Tahoma"/>
          <w:color w:val="161616"/>
          <w:sz w:val="20"/>
          <w:szCs w:val="20"/>
        </w:rPr>
        <w:t>cych zró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nicowanie kosztu ich wykonania</w:t>
      </w:r>
      <w:r w:rsidRPr="00400EDD">
        <w:rPr>
          <w:rFonts w:ascii="Tahoma" w:hAnsi="Tahoma" w:cs="Tahoma"/>
          <w:sz w:val="20"/>
          <w:szCs w:val="20"/>
        </w:rPr>
        <w:t xml:space="preserve">  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color w:val="161616"/>
          <w:sz w:val="20"/>
          <w:szCs w:val="20"/>
        </w:rPr>
        <w:t>Ka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dy element lub przedmiarowana robota powinny by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ć </w:t>
      </w:r>
      <w:r w:rsidRPr="00400EDD">
        <w:rPr>
          <w:rFonts w:ascii="Tahoma" w:hAnsi="Tahoma" w:cs="Tahoma"/>
          <w:color w:val="161616"/>
          <w:sz w:val="20"/>
          <w:szCs w:val="20"/>
        </w:rPr>
        <w:t>powi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ą</w:t>
      </w:r>
      <w:r w:rsidRPr="00400EDD">
        <w:rPr>
          <w:rFonts w:ascii="Tahoma" w:hAnsi="Tahoma" w:cs="Tahoma"/>
          <w:color w:val="161616"/>
          <w:sz w:val="20"/>
          <w:szCs w:val="20"/>
        </w:rPr>
        <w:t>zane z odpowiednimi rysunkami projektu wykonawczego np. ilość rurociągów preizolowanych należy przyjmować zgodnie ze schematem montażowym wpisując kolejno każdy odcinek rurociągu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color w:val="161616"/>
          <w:sz w:val="20"/>
          <w:szCs w:val="20"/>
        </w:rPr>
        <w:t>W ka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dej pozycji powinna by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ć </w:t>
      </w:r>
      <w:r w:rsidRPr="00400EDD">
        <w:rPr>
          <w:rFonts w:ascii="Tahoma" w:hAnsi="Tahoma" w:cs="Tahoma"/>
          <w:color w:val="161616"/>
          <w:sz w:val="20"/>
          <w:szCs w:val="20"/>
        </w:rPr>
        <w:t>pokazana zasada obliczenia ilo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ci robót, a obliczenia nale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y prowadzi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ć </w:t>
      </w:r>
      <w:r w:rsidRPr="00400EDD">
        <w:rPr>
          <w:rFonts w:ascii="Tahoma" w:hAnsi="Tahoma" w:cs="Tahoma"/>
          <w:color w:val="161616"/>
          <w:sz w:val="20"/>
          <w:szCs w:val="20"/>
        </w:rPr>
        <w:t>w tej samej, okre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lonej kolejno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ci np. szerokość * głębokość * długość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color w:val="161616"/>
          <w:sz w:val="20"/>
          <w:szCs w:val="20"/>
        </w:rPr>
        <w:t>Wymiary liniowe nale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y wpisywa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ć </w:t>
      </w:r>
      <w:r w:rsidRPr="00400EDD">
        <w:rPr>
          <w:rFonts w:ascii="Tahoma" w:hAnsi="Tahoma" w:cs="Tahoma"/>
          <w:color w:val="161616"/>
          <w:sz w:val="20"/>
          <w:szCs w:val="20"/>
        </w:rPr>
        <w:t>w metrach z dokładno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ci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ą </w:t>
      </w:r>
      <w:r w:rsidRPr="00400EDD">
        <w:rPr>
          <w:rFonts w:ascii="Tahoma" w:hAnsi="Tahoma" w:cs="Tahoma"/>
          <w:color w:val="161616"/>
          <w:sz w:val="20"/>
          <w:szCs w:val="20"/>
        </w:rPr>
        <w:t>do dwóch miejsc po przecinku (tak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e liczby całkowite); z tak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ą </w:t>
      </w:r>
      <w:r w:rsidRPr="00400EDD">
        <w:rPr>
          <w:rFonts w:ascii="Tahoma" w:hAnsi="Tahoma" w:cs="Tahoma"/>
          <w:color w:val="161616"/>
          <w:sz w:val="20"/>
          <w:szCs w:val="20"/>
        </w:rPr>
        <w:t>sam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ą </w:t>
      </w:r>
      <w:r w:rsidRPr="00400EDD">
        <w:rPr>
          <w:rFonts w:ascii="Tahoma" w:hAnsi="Tahoma" w:cs="Tahoma"/>
          <w:color w:val="161616"/>
          <w:sz w:val="20"/>
          <w:szCs w:val="20"/>
        </w:rPr>
        <w:t>dokładno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ci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ą </w:t>
      </w:r>
      <w:r w:rsidRPr="00400EDD">
        <w:rPr>
          <w:rFonts w:ascii="Tahoma" w:hAnsi="Tahoma" w:cs="Tahoma"/>
          <w:color w:val="161616"/>
          <w:sz w:val="20"/>
          <w:szCs w:val="20"/>
        </w:rPr>
        <w:t>oblicza si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ę </w:t>
      </w:r>
      <w:r w:rsidRPr="00400EDD">
        <w:rPr>
          <w:rFonts w:ascii="Tahoma" w:hAnsi="Tahoma" w:cs="Tahoma"/>
          <w:color w:val="161616"/>
          <w:sz w:val="20"/>
          <w:szCs w:val="20"/>
        </w:rPr>
        <w:t>równie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ż </w:t>
      </w:r>
      <w:r w:rsidRPr="00400EDD">
        <w:rPr>
          <w:rFonts w:ascii="Tahoma" w:hAnsi="Tahoma" w:cs="Tahoma"/>
          <w:color w:val="161616"/>
          <w:sz w:val="20"/>
          <w:szCs w:val="20"/>
        </w:rPr>
        <w:t>powierzchnie i obj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ę</w:t>
      </w:r>
      <w:r w:rsidRPr="00400EDD">
        <w:rPr>
          <w:rFonts w:ascii="Tahoma" w:hAnsi="Tahoma" w:cs="Tahoma"/>
          <w:color w:val="161616"/>
          <w:sz w:val="20"/>
          <w:szCs w:val="20"/>
        </w:rPr>
        <w:t>to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ci elementów, je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eli szczegółowe zasady przedmiaru nie stanowi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ą </w:t>
      </w:r>
      <w:r w:rsidRPr="00400EDD">
        <w:rPr>
          <w:rFonts w:ascii="Tahoma" w:hAnsi="Tahoma" w:cs="Tahoma"/>
          <w:color w:val="161616"/>
          <w:sz w:val="20"/>
          <w:szCs w:val="20"/>
        </w:rPr>
        <w:t>inaczej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color w:val="161616"/>
          <w:sz w:val="20"/>
          <w:szCs w:val="20"/>
        </w:rPr>
        <w:t>Liczb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ę </w:t>
      </w:r>
      <w:r w:rsidRPr="00400EDD">
        <w:rPr>
          <w:rFonts w:ascii="Tahoma" w:hAnsi="Tahoma" w:cs="Tahoma"/>
          <w:color w:val="161616"/>
          <w:sz w:val="20"/>
          <w:szCs w:val="20"/>
        </w:rPr>
        <w:t>sztuk wpisuje si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ę </w:t>
      </w:r>
      <w:r w:rsidRPr="00400EDD">
        <w:rPr>
          <w:rFonts w:ascii="Tahoma" w:hAnsi="Tahoma" w:cs="Tahoma"/>
          <w:color w:val="161616"/>
          <w:sz w:val="20"/>
          <w:szCs w:val="20"/>
        </w:rPr>
        <w:t>za pomoc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ą </w:t>
      </w:r>
      <w:r w:rsidRPr="00400EDD">
        <w:rPr>
          <w:rFonts w:ascii="Tahoma" w:hAnsi="Tahoma" w:cs="Tahoma"/>
          <w:color w:val="161616"/>
          <w:sz w:val="20"/>
          <w:szCs w:val="20"/>
        </w:rPr>
        <w:t>liczb całkowitych bez znaków po przecinku, np. 2, 4 itd., zapis 2 x 3,00 oznacza, że wymiar 3,00 m wyst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ę</w:t>
      </w:r>
      <w:r w:rsidRPr="00400EDD">
        <w:rPr>
          <w:rFonts w:ascii="Tahoma" w:hAnsi="Tahoma" w:cs="Tahoma"/>
          <w:color w:val="161616"/>
          <w:sz w:val="20"/>
          <w:szCs w:val="20"/>
        </w:rPr>
        <w:t>puje dwukrotnie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color w:val="161616"/>
          <w:sz w:val="20"/>
          <w:szCs w:val="20"/>
        </w:rPr>
        <w:t>Wszystkie wymiary podawane w formułach obliczeniowych powinny si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ę </w:t>
      </w:r>
      <w:r w:rsidRPr="00400EDD">
        <w:rPr>
          <w:rFonts w:ascii="Tahoma" w:hAnsi="Tahoma" w:cs="Tahoma"/>
          <w:color w:val="161616"/>
          <w:sz w:val="20"/>
          <w:szCs w:val="20"/>
        </w:rPr>
        <w:t>znajdowa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ć </w:t>
      </w:r>
      <w:r w:rsidRPr="00400EDD">
        <w:rPr>
          <w:rFonts w:ascii="Tahoma" w:hAnsi="Tahoma" w:cs="Tahoma"/>
          <w:color w:val="161616"/>
          <w:sz w:val="20"/>
          <w:szCs w:val="20"/>
        </w:rPr>
        <w:t>na odpowiednich rysunkach projektu technicznego; je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eli jakiego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ś </w:t>
      </w:r>
      <w:r w:rsidRPr="00400EDD">
        <w:rPr>
          <w:rFonts w:ascii="Tahoma" w:hAnsi="Tahoma" w:cs="Tahoma"/>
          <w:color w:val="161616"/>
          <w:sz w:val="20"/>
          <w:szCs w:val="20"/>
        </w:rPr>
        <w:t>wymiaru, niezb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ę</w:t>
      </w:r>
      <w:r w:rsidRPr="00400EDD">
        <w:rPr>
          <w:rFonts w:ascii="Tahoma" w:hAnsi="Tahoma" w:cs="Tahoma"/>
          <w:color w:val="161616"/>
          <w:sz w:val="20"/>
          <w:szCs w:val="20"/>
        </w:rPr>
        <w:t>dnego do oblicze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ń </w:t>
      </w:r>
      <w:r w:rsidRPr="00400EDD">
        <w:rPr>
          <w:rFonts w:ascii="Tahoma" w:hAnsi="Tahoma" w:cs="Tahoma"/>
          <w:color w:val="161616"/>
          <w:sz w:val="20"/>
          <w:szCs w:val="20"/>
        </w:rPr>
        <w:t>przedmiarów, brakuje na rysunku to nale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ż</w:t>
      </w:r>
      <w:r w:rsidRPr="00400EDD">
        <w:rPr>
          <w:rFonts w:ascii="Tahoma" w:hAnsi="Tahoma" w:cs="Tahoma"/>
          <w:color w:val="161616"/>
          <w:sz w:val="20"/>
          <w:szCs w:val="20"/>
        </w:rPr>
        <w:t>y go wpisa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ć do pozycji przedmiaru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color w:val="161616"/>
          <w:sz w:val="20"/>
          <w:szCs w:val="20"/>
        </w:rPr>
        <w:t>Obliczenia ilo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ci robót nie powinny by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ć </w:t>
      </w:r>
      <w:r w:rsidRPr="00400EDD">
        <w:rPr>
          <w:rFonts w:ascii="Tahoma" w:hAnsi="Tahoma" w:cs="Tahoma"/>
          <w:color w:val="161616"/>
          <w:sz w:val="20"/>
          <w:szCs w:val="20"/>
        </w:rPr>
        <w:t>zbyt długie, gdy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ż </w:t>
      </w:r>
      <w:r w:rsidRPr="00400EDD">
        <w:rPr>
          <w:rFonts w:ascii="Tahoma" w:hAnsi="Tahoma" w:cs="Tahoma"/>
          <w:color w:val="161616"/>
          <w:sz w:val="20"/>
          <w:szCs w:val="20"/>
        </w:rPr>
        <w:t>s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ą </w:t>
      </w:r>
      <w:r w:rsidRPr="00400EDD">
        <w:rPr>
          <w:rFonts w:ascii="Tahoma" w:hAnsi="Tahoma" w:cs="Tahoma"/>
          <w:color w:val="161616"/>
          <w:sz w:val="20"/>
          <w:szCs w:val="20"/>
        </w:rPr>
        <w:t>one uci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ąż</w:t>
      </w:r>
      <w:r w:rsidRPr="00400EDD">
        <w:rPr>
          <w:rFonts w:ascii="Tahoma" w:hAnsi="Tahoma" w:cs="Tahoma"/>
          <w:color w:val="161616"/>
          <w:sz w:val="20"/>
          <w:szCs w:val="20"/>
        </w:rPr>
        <w:t>liwe i trudne do skontrolowania. Elementy wi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ę</w:t>
      </w:r>
      <w:r w:rsidRPr="00400EDD">
        <w:rPr>
          <w:rFonts w:ascii="Tahoma" w:hAnsi="Tahoma" w:cs="Tahoma"/>
          <w:color w:val="161616"/>
          <w:sz w:val="20"/>
          <w:szCs w:val="20"/>
        </w:rPr>
        <w:t>ksze, o skomplikowanym kształcie, dzieli si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 xml:space="preserve">ę </w:t>
      </w:r>
      <w:r w:rsidRPr="00400EDD">
        <w:rPr>
          <w:rFonts w:ascii="Tahoma" w:hAnsi="Tahoma" w:cs="Tahoma"/>
          <w:color w:val="161616"/>
          <w:sz w:val="20"/>
          <w:szCs w:val="20"/>
        </w:rPr>
        <w:t>na mniejsze i prostsze cz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ęś</w:t>
      </w:r>
      <w:r w:rsidRPr="00400EDD">
        <w:rPr>
          <w:rFonts w:ascii="Tahoma" w:hAnsi="Tahoma" w:cs="Tahoma"/>
          <w:color w:val="161616"/>
          <w:sz w:val="20"/>
          <w:szCs w:val="20"/>
        </w:rPr>
        <w:t>ci, a obliczone ilo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ś</w:t>
      </w:r>
      <w:r w:rsidRPr="00400EDD">
        <w:rPr>
          <w:rFonts w:ascii="Tahoma" w:hAnsi="Tahoma" w:cs="Tahoma"/>
          <w:color w:val="161616"/>
          <w:sz w:val="20"/>
          <w:szCs w:val="20"/>
        </w:rPr>
        <w:t>ci cz</w:t>
      </w:r>
      <w:r w:rsidRPr="00400EDD">
        <w:rPr>
          <w:rFonts w:ascii="Tahoma" w:eastAsia="TimesNewRoman" w:hAnsi="Tahoma" w:cs="Tahoma"/>
          <w:color w:val="161616"/>
          <w:sz w:val="20"/>
          <w:szCs w:val="20"/>
        </w:rPr>
        <w:t>ą</w:t>
      </w:r>
      <w:r w:rsidRPr="00400EDD">
        <w:rPr>
          <w:rFonts w:ascii="Tahoma" w:hAnsi="Tahoma" w:cs="Tahoma"/>
          <w:color w:val="161616"/>
          <w:sz w:val="20"/>
          <w:szCs w:val="20"/>
        </w:rPr>
        <w:t>stkowe — sumuje np. obliczenia wykopów należy przedstawić oddzielnie dla każdego odcinka możliwego do zwymiarowania wg profilu przyłącza/sieci cieplnej</w:t>
      </w:r>
    </w:p>
    <w:p w:rsidR="002A43F7" w:rsidRPr="004260D8" w:rsidRDefault="002A43F7" w:rsidP="004260D8">
      <w:pPr>
        <w:pStyle w:val="Akapitzlist"/>
        <w:numPr>
          <w:ilvl w:val="0"/>
          <w:numId w:val="1"/>
        </w:numPr>
        <w:spacing w:before="120" w:after="120"/>
        <w:rPr>
          <w:rFonts w:ascii="Tahoma" w:hAnsi="Tahoma" w:cs="Tahoma"/>
          <w:b/>
          <w:bCs/>
          <w:sz w:val="20"/>
          <w:szCs w:val="20"/>
        </w:rPr>
      </w:pPr>
      <w:r w:rsidRPr="004260D8">
        <w:rPr>
          <w:rFonts w:ascii="Tahoma" w:hAnsi="Tahoma" w:cs="Tahoma"/>
          <w:b/>
          <w:bCs/>
          <w:sz w:val="20"/>
          <w:szCs w:val="20"/>
        </w:rPr>
        <w:t xml:space="preserve">Wytyczne </w:t>
      </w:r>
      <w:r>
        <w:rPr>
          <w:rFonts w:ascii="Tahoma" w:hAnsi="Tahoma" w:cs="Tahoma"/>
          <w:b/>
          <w:bCs/>
          <w:sz w:val="20"/>
          <w:szCs w:val="20"/>
        </w:rPr>
        <w:t>sporządzania kosztorysu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Cena oferty</w:t>
      </w:r>
    </w:p>
    <w:p w:rsidR="002A43F7" w:rsidRPr="00400EDD" w:rsidRDefault="002A43F7" w:rsidP="00400EDD">
      <w:pPr>
        <w:pStyle w:val="Akapitzlist"/>
        <w:tabs>
          <w:tab w:val="left" w:pos="213"/>
        </w:tabs>
        <w:ind w:left="360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</w:rPr>
        <w:tab/>
      </w:r>
      <w:r w:rsidRPr="00400EDD">
        <w:rPr>
          <w:rFonts w:ascii="Tahoma" w:hAnsi="Tahoma" w:cs="Tahoma"/>
          <w:sz w:val="20"/>
          <w:szCs w:val="20"/>
        </w:rPr>
        <w:t>cena</w:t>
      </w:r>
      <w:r w:rsidRPr="00400ED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400EDD">
        <w:rPr>
          <w:rFonts w:ascii="Tahoma" w:hAnsi="Tahoma" w:cs="Tahoma"/>
          <w:sz w:val="20"/>
          <w:szCs w:val="20"/>
          <w:lang w:val="en-US"/>
        </w:rPr>
        <w:t>netto</w:t>
      </w:r>
      <w:proofErr w:type="spellEnd"/>
      <w:r w:rsidRPr="00400EDD">
        <w:rPr>
          <w:rFonts w:ascii="Tahoma" w:hAnsi="Tahoma" w:cs="Tahoma"/>
          <w:sz w:val="20"/>
          <w:szCs w:val="20"/>
          <w:lang w:val="en-US"/>
        </w:rPr>
        <w:t xml:space="preserve"> + VAT = </w:t>
      </w:r>
      <w:proofErr w:type="spellStart"/>
      <w:r w:rsidRPr="00400EDD">
        <w:rPr>
          <w:rFonts w:ascii="Tahoma" w:hAnsi="Tahoma" w:cs="Tahoma"/>
          <w:sz w:val="20"/>
          <w:szCs w:val="20"/>
          <w:lang w:val="en-US"/>
        </w:rPr>
        <w:t>cena</w:t>
      </w:r>
      <w:proofErr w:type="spellEnd"/>
      <w:r w:rsidRPr="00400EDD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400EDD">
        <w:rPr>
          <w:rFonts w:ascii="Tahoma" w:hAnsi="Tahoma" w:cs="Tahoma"/>
          <w:sz w:val="20"/>
          <w:szCs w:val="20"/>
          <w:lang w:val="en-US"/>
        </w:rPr>
        <w:t>brutto</w:t>
      </w:r>
      <w:proofErr w:type="spellEnd"/>
    </w:p>
    <w:p w:rsidR="002A43F7" w:rsidRPr="00400EDD" w:rsidRDefault="002A43F7" w:rsidP="00400EDD">
      <w:pPr>
        <w:ind w:firstLine="708"/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Wszystkie ceny i kwoty zaokrąglone do pełnych groszy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Metoda kalkulacji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tabs>
          <w:tab w:val="left" w:pos="213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Szczegółowa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tabs>
          <w:tab w:val="left" w:pos="213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Normatywy wg KNR, KNNR, (w razie konieczności KNP i kalkulacja własna)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tabs>
          <w:tab w:val="left" w:pos="213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Roboty ziemne wg KNR 2-01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tabs>
          <w:tab w:val="left" w:pos="213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Podsypka wg KNR 2-01 0610-06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tabs>
          <w:tab w:val="left" w:pos="213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Obsypka wg KNR 2-28 0501-09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Narzuty liczone</w:t>
      </w:r>
      <w:r>
        <w:rPr>
          <w:rFonts w:ascii="Tahoma" w:hAnsi="Tahoma" w:cs="Tahoma"/>
          <w:sz w:val="20"/>
          <w:szCs w:val="20"/>
        </w:rPr>
        <w:t xml:space="preserve"> </w:t>
      </w:r>
      <w:r w:rsidRPr="00400EDD">
        <w:rPr>
          <w:rFonts w:ascii="Tahoma" w:hAnsi="Tahoma" w:cs="Tahoma"/>
          <w:sz w:val="20"/>
          <w:szCs w:val="20"/>
        </w:rPr>
        <w:t>w pozycjach na jednostkę przedmiarową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Narzuty i dodatki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tabs>
          <w:tab w:val="left" w:pos="218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Koszty pośrednie (</w:t>
      </w:r>
      <w:proofErr w:type="spellStart"/>
      <w:r w:rsidRPr="00400EDD">
        <w:rPr>
          <w:rFonts w:ascii="Tahoma" w:hAnsi="Tahoma" w:cs="Tahoma"/>
          <w:sz w:val="20"/>
          <w:szCs w:val="20"/>
        </w:rPr>
        <w:t>Kp</w:t>
      </w:r>
      <w:proofErr w:type="spellEnd"/>
      <w:r w:rsidRPr="00400EDD">
        <w:rPr>
          <w:rFonts w:ascii="Tahoma" w:hAnsi="Tahoma" w:cs="Tahoma"/>
          <w:sz w:val="20"/>
          <w:szCs w:val="20"/>
        </w:rPr>
        <w:t>) liczone od robocizny(R) i sprzętu(S)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tabs>
          <w:tab w:val="left" w:pos="222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Zysk (Z) liczony od robocizny(R), sprzętu(S), Kosztów pośrednich(</w:t>
      </w:r>
      <w:proofErr w:type="spellStart"/>
      <w:r w:rsidRPr="00400EDD">
        <w:rPr>
          <w:rFonts w:ascii="Tahoma" w:hAnsi="Tahoma" w:cs="Tahoma"/>
          <w:sz w:val="20"/>
          <w:szCs w:val="20"/>
        </w:rPr>
        <w:t>Kp</w:t>
      </w:r>
      <w:proofErr w:type="spellEnd"/>
      <w:r w:rsidRPr="00400EDD">
        <w:rPr>
          <w:rFonts w:ascii="Tahoma" w:hAnsi="Tahoma" w:cs="Tahoma"/>
          <w:sz w:val="20"/>
          <w:szCs w:val="20"/>
        </w:rPr>
        <w:t>)</w:t>
      </w:r>
    </w:p>
    <w:p w:rsidR="002A43F7" w:rsidRPr="00400EDD" w:rsidRDefault="002A43F7" w:rsidP="00400EDD">
      <w:pPr>
        <w:pStyle w:val="Akapitzlist"/>
        <w:numPr>
          <w:ilvl w:val="2"/>
          <w:numId w:val="1"/>
        </w:numPr>
        <w:tabs>
          <w:tab w:val="left" w:pos="222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Bez innych narzutów i dodatków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tabs>
          <w:tab w:val="left" w:pos="222"/>
        </w:tabs>
        <w:rPr>
          <w:rFonts w:ascii="Tahoma" w:hAnsi="Tahoma" w:cs="Tahoma"/>
          <w:color w:val="auto"/>
          <w:sz w:val="20"/>
          <w:szCs w:val="20"/>
        </w:rPr>
      </w:pPr>
      <w:r w:rsidRPr="00400EDD">
        <w:rPr>
          <w:rFonts w:ascii="Tahoma" w:hAnsi="Tahoma" w:cs="Tahoma"/>
          <w:color w:val="auto"/>
          <w:sz w:val="20"/>
          <w:szCs w:val="20"/>
        </w:rPr>
        <w:t>Wysokość narzutów w robotach inżynieryjnych aktualna na dany kwartał wg Sekocenbudu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lastRenderedPageBreak/>
        <w:t>Koszty zakupu materiałów</w:t>
      </w:r>
      <w:r>
        <w:rPr>
          <w:rFonts w:ascii="Tahoma" w:hAnsi="Tahoma" w:cs="Tahoma"/>
          <w:sz w:val="20"/>
          <w:szCs w:val="20"/>
        </w:rPr>
        <w:t xml:space="preserve"> </w:t>
      </w:r>
      <w:r w:rsidRPr="00400EDD">
        <w:rPr>
          <w:rFonts w:ascii="Tahoma" w:hAnsi="Tahoma" w:cs="Tahoma"/>
          <w:sz w:val="20"/>
          <w:szCs w:val="20"/>
        </w:rPr>
        <w:t xml:space="preserve">doliczane jako narzut aktualne na dany kwartał - wysokość </w:t>
      </w:r>
      <w:r w:rsidRPr="00400EDD">
        <w:rPr>
          <w:rFonts w:ascii="Tahoma" w:hAnsi="Tahoma" w:cs="Tahoma"/>
          <w:color w:val="auto"/>
          <w:sz w:val="20"/>
          <w:szCs w:val="20"/>
        </w:rPr>
        <w:t>dla robót inżynieryjnych wg Sekocenbudu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rPr>
          <w:rFonts w:ascii="Tahoma" w:hAnsi="Tahoma" w:cs="Tahoma"/>
          <w:color w:val="auto"/>
          <w:sz w:val="20"/>
          <w:szCs w:val="20"/>
        </w:rPr>
      </w:pPr>
      <w:r w:rsidRPr="00400EDD">
        <w:rPr>
          <w:rFonts w:ascii="Tahoma" w:hAnsi="Tahoma" w:cs="Tahoma"/>
          <w:color w:val="auto"/>
          <w:sz w:val="20"/>
          <w:szCs w:val="20"/>
        </w:rPr>
        <w:t xml:space="preserve">Stawka robocizny </w:t>
      </w:r>
      <w:r w:rsidRPr="00400EDD">
        <w:rPr>
          <w:rFonts w:ascii="Tahoma" w:hAnsi="Tahoma" w:cs="Tahoma"/>
          <w:sz w:val="20"/>
          <w:szCs w:val="20"/>
        </w:rPr>
        <w:t xml:space="preserve">aktualna na dany kwartał </w:t>
      </w:r>
      <w:r w:rsidRPr="00400EDD">
        <w:rPr>
          <w:rFonts w:ascii="Tahoma" w:hAnsi="Tahoma" w:cs="Tahoma"/>
          <w:color w:val="auto"/>
          <w:sz w:val="20"/>
          <w:szCs w:val="20"/>
        </w:rPr>
        <w:t>- średnia stawka dla woj. podlaskiego wg Sekocenbudu (roboty inżynieryjne)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400EDD">
        <w:rPr>
          <w:rFonts w:ascii="Tahoma" w:hAnsi="Tahoma" w:cs="Tahoma"/>
          <w:sz w:val="20"/>
          <w:szCs w:val="20"/>
        </w:rPr>
        <w:t xml:space="preserve">eny materiałów preizolowanych wg oferty od producenta załączonej do kosztorysu 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Ceny</w:t>
      </w:r>
      <w:r>
        <w:rPr>
          <w:rFonts w:ascii="Tahoma" w:hAnsi="Tahoma" w:cs="Tahoma"/>
          <w:sz w:val="20"/>
          <w:szCs w:val="20"/>
        </w:rPr>
        <w:t xml:space="preserve"> pozostałych</w:t>
      </w:r>
      <w:r w:rsidRPr="00400EDD">
        <w:rPr>
          <w:rFonts w:ascii="Tahoma" w:hAnsi="Tahoma" w:cs="Tahoma"/>
          <w:sz w:val="20"/>
          <w:szCs w:val="20"/>
        </w:rPr>
        <w:t xml:space="preserve"> materiałów</w:t>
      </w:r>
      <w:r>
        <w:rPr>
          <w:rFonts w:ascii="Tahoma" w:hAnsi="Tahoma" w:cs="Tahoma"/>
          <w:sz w:val="20"/>
          <w:szCs w:val="20"/>
        </w:rPr>
        <w:t xml:space="preserve"> </w:t>
      </w:r>
      <w:r w:rsidRPr="00400EDD">
        <w:rPr>
          <w:rFonts w:ascii="Tahoma" w:hAnsi="Tahoma" w:cs="Tahoma"/>
          <w:sz w:val="20"/>
          <w:szCs w:val="20"/>
        </w:rPr>
        <w:t xml:space="preserve">wg aktualnych cenników na dany kwartał bez kosztów zakupu np. </w:t>
      </w:r>
      <w:proofErr w:type="spellStart"/>
      <w:r w:rsidRPr="00400EDD">
        <w:rPr>
          <w:rFonts w:ascii="Tahoma" w:hAnsi="Tahoma" w:cs="Tahoma"/>
          <w:sz w:val="20"/>
          <w:szCs w:val="20"/>
        </w:rPr>
        <w:t>Sekocenbud</w:t>
      </w:r>
      <w:proofErr w:type="spellEnd"/>
      <w:r w:rsidRPr="00400E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00EDD">
        <w:rPr>
          <w:rFonts w:ascii="Tahoma" w:hAnsi="Tahoma" w:cs="Tahoma"/>
          <w:sz w:val="20"/>
          <w:szCs w:val="20"/>
        </w:rPr>
        <w:t>Intercenbud</w:t>
      </w:r>
      <w:proofErr w:type="spellEnd"/>
      <w:r w:rsidRPr="00400E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00EDD">
        <w:rPr>
          <w:rFonts w:ascii="Tahoma" w:hAnsi="Tahoma" w:cs="Tahoma"/>
          <w:sz w:val="20"/>
          <w:szCs w:val="20"/>
        </w:rPr>
        <w:t>Bistyp</w:t>
      </w:r>
      <w:proofErr w:type="spellEnd"/>
      <w:r w:rsidRPr="00400EDD">
        <w:rPr>
          <w:rFonts w:ascii="Tahoma" w:hAnsi="Tahoma" w:cs="Tahoma"/>
          <w:sz w:val="20"/>
          <w:szCs w:val="20"/>
        </w:rPr>
        <w:t xml:space="preserve"> z podaniem na stronie tytułowej kosztorysu jaki cennik został zastosowany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Ceny sprzętu</w:t>
      </w:r>
      <w:r>
        <w:rPr>
          <w:rFonts w:ascii="Tahoma" w:hAnsi="Tahoma" w:cs="Tahoma"/>
          <w:sz w:val="20"/>
          <w:szCs w:val="20"/>
        </w:rPr>
        <w:t xml:space="preserve"> </w:t>
      </w:r>
      <w:r w:rsidRPr="00400EDD">
        <w:rPr>
          <w:rFonts w:ascii="Tahoma" w:hAnsi="Tahoma" w:cs="Tahoma"/>
          <w:sz w:val="20"/>
          <w:szCs w:val="20"/>
        </w:rPr>
        <w:t xml:space="preserve">wg aktualnych cenników na dany kwartał np. </w:t>
      </w:r>
      <w:proofErr w:type="spellStart"/>
      <w:r w:rsidRPr="00400EDD">
        <w:rPr>
          <w:rFonts w:ascii="Tahoma" w:hAnsi="Tahoma" w:cs="Tahoma"/>
          <w:sz w:val="20"/>
          <w:szCs w:val="20"/>
        </w:rPr>
        <w:t>Sekocenbud</w:t>
      </w:r>
      <w:proofErr w:type="spellEnd"/>
      <w:r w:rsidRPr="00400E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00EDD">
        <w:rPr>
          <w:rFonts w:ascii="Tahoma" w:hAnsi="Tahoma" w:cs="Tahoma"/>
          <w:sz w:val="20"/>
          <w:szCs w:val="20"/>
        </w:rPr>
        <w:t>Intercenbud</w:t>
      </w:r>
      <w:proofErr w:type="spellEnd"/>
      <w:r w:rsidRPr="00400EDD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00EDD">
        <w:rPr>
          <w:rFonts w:ascii="Tahoma" w:hAnsi="Tahoma" w:cs="Tahoma"/>
          <w:sz w:val="20"/>
          <w:szCs w:val="20"/>
        </w:rPr>
        <w:t>Bistyp</w:t>
      </w:r>
      <w:proofErr w:type="spellEnd"/>
      <w:r w:rsidRPr="00400EDD">
        <w:rPr>
          <w:rFonts w:ascii="Tahoma" w:hAnsi="Tahoma" w:cs="Tahoma"/>
          <w:sz w:val="20"/>
          <w:szCs w:val="20"/>
        </w:rPr>
        <w:t xml:space="preserve"> z podaniem na stronie tytułowej kosztorysu jaki cennik został zastosowany</w:t>
      </w:r>
    </w:p>
    <w:p w:rsidR="002A43F7" w:rsidRPr="00400EDD" w:rsidRDefault="002A43F7" w:rsidP="00400EDD">
      <w:pPr>
        <w:pStyle w:val="Akapitzlist"/>
        <w:numPr>
          <w:ilvl w:val="1"/>
          <w:numId w:val="1"/>
        </w:numPr>
        <w:tabs>
          <w:tab w:val="left" w:pos="208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Koszt badania spawów</w:t>
      </w:r>
      <w:r>
        <w:rPr>
          <w:rFonts w:ascii="Tahoma" w:hAnsi="Tahoma" w:cs="Tahoma"/>
          <w:sz w:val="20"/>
          <w:szCs w:val="20"/>
        </w:rPr>
        <w:t xml:space="preserve"> należy przy</w:t>
      </w:r>
      <w:r w:rsidR="00C96EEF">
        <w:rPr>
          <w:rFonts w:ascii="Tahoma" w:hAnsi="Tahoma" w:cs="Tahoma"/>
          <w:sz w:val="20"/>
          <w:szCs w:val="20"/>
        </w:rPr>
        <w:t>jmować zgodnie z cennikiem</w:t>
      </w:r>
      <w:r w:rsidR="006D7FBD">
        <w:rPr>
          <w:rFonts w:ascii="Tahoma" w:hAnsi="Tahoma" w:cs="Tahoma"/>
          <w:sz w:val="20"/>
          <w:szCs w:val="20"/>
        </w:rPr>
        <w:t>:</w:t>
      </w:r>
      <w:r w:rsidR="00C96EEF">
        <w:rPr>
          <w:rFonts w:ascii="Tahoma" w:hAnsi="Tahoma" w:cs="Tahoma"/>
          <w:sz w:val="20"/>
          <w:szCs w:val="20"/>
        </w:rPr>
        <w:t xml:space="preserve"> </w:t>
      </w:r>
      <w:r w:rsidR="006D7FBD">
        <w:rPr>
          <w:rFonts w:ascii="Tahoma" w:hAnsi="Tahoma" w:cs="Tahoma"/>
          <w:sz w:val="20"/>
          <w:szCs w:val="20"/>
        </w:rPr>
        <w:t xml:space="preserve">Usługi </w:t>
      </w:r>
      <w:r w:rsidR="007C5E1F">
        <w:rPr>
          <w:rFonts w:ascii="Tahoma" w:hAnsi="Tahoma" w:cs="Tahoma"/>
          <w:sz w:val="20"/>
          <w:szCs w:val="20"/>
        </w:rPr>
        <w:t>Enea Ciepło</w:t>
      </w:r>
      <w:r w:rsidRPr="00400EDD">
        <w:rPr>
          <w:rFonts w:ascii="Tahoma" w:hAnsi="Tahoma" w:cs="Tahoma"/>
          <w:sz w:val="20"/>
          <w:szCs w:val="20"/>
        </w:rPr>
        <w:t xml:space="preserve"> znajdującym się na stronie internetowej: http://www.mpec.bialystok.pl/kategorie,126 </w:t>
      </w:r>
    </w:p>
    <w:p w:rsidR="002A43F7" w:rsidRPr="00400EDD" w:rsidRDefault="002A43F7" w:rsidP="00400EDD">
      <w:pPr>
        <w:tabs>
          <w:tab w:val="left" w:pos="208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Do dokumentacji należy dołączyć</w:t>
      </w:r>
      <w:r w:rsidRPr="00400EDD">
        <w:rPr>
          <w:rFonts w:ascii="Tahoma" w:hAnsi="Tahoma" w:cs="Tahoma"/>
          <w:sz w:val="20"/>
          <w:szCs w:val="20"/>
        </w:rPr>
        <w:t>:</w:t>
      </w:r>
    </w:p>
    <w:p w:rsidR="002A43F7" w:rsidRPr="00400EDD" w:rsidRDefault="002A43F7" w:rsidP="00400EDD">
      <w:pPr>
        <w:tabs>
          <w:tab w:val="left" w:pos="222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Kosztorys w wersji szczegółowej - 2 egz.</w:t>
      </w:r>
    </w:p>
    <w:p w:rsidR="002A43F7" w:rsidRPr="00400EDD" w:rsidRDefault="002A43F7" w:rsidP="00400EDD">
      <w:pPr>
        <w:tabs>
          <w:tab w:val="left" w:pos="222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>Przedmiar - 2 egz.</w:t>
      </w:r>
    </w:p>
    <w:p w:rsidR="002A43F7" w:rsidRPr="00400EDD" w:rsidRDefault="002A43F7" w:rsidP="00400EDD">
      <w:pPr>
        <w:tabs>
          <w:tab w:val="left" w:pos="222"/>
        </w:tabs>
        <w:rPr>
          <w:rFonts w:ascii="Tahoma" w:hAnsi="Tahoma" w:cs="Tahoma"/>
          <w:sz w:val="20"/>
          <w:szCs w:val="20"/>
        </w:rPr>
      </w:pPr>
      <w:r w:rsidRPr="00400EDD">
        <w:rPr>
          <w:rFonts w:ascii="Tahoma" w:hAnsi="Tahoma" w:cs="Tahoma"/>
          <w:sz w:val="20"/>
          <w:szCs w:val="20"/>
        </w:rPr>
        <w:t xml:space="preserve">Dodatkowo CD - 1 egz. z plikami </w:t>
      </w:r>
      <w:proofErr w:type="spellStart"/>
      <w:r w:rsidRPr="00400EDD">
        <w:rPr>
          <w:rFonts w:ascii="Tahoma" w:hAnsi="Tahoma" w:cs="Tahoma"/>
          <w:sz w:val="20"/>
          <w:szCs w:val="20"/>
        </w:rPr>
        <w:t>.pd</w:t>
      </w:r>
      <w:proofErr w:type="spellEnd"/>
      <w:r w:rsidRPr="00400EDD">
        <w:rPr>
          <w:rFonts w:ascii="Tahoma" w:hAnsi="Tahoma" w:cs="Tahoma"/>
          <w:sz w:val="20"/>
          <w:szCs w:val="20"/>
        </w:rPr>
        <w:t>f i .</w:t>
      </w:r>
      <w:proofErr w:type="spellStart"/>
      <w:r w:rsidRPr="00400EDD">
        <w:rPr>
          <w:rFonts w:ascii="Tahoma" w:hAnsi="Tahoma" w:cs="Tahoma"/>
          <w:sz w:val="20"/>
          <w:szCs w:val="20"/>
        </w:rPr>
        <w:t>ath</w:t>
      </w:r>
      <w:proofErr w:type="spellEnd"/>
    </w:p>
    <w:sectPr w:rsidR="002A43F7" w:rsidRPr="00400EDD" w:rsidSect="003B03F0">
      <w:headerReference w:type="default" r:id="rId7"/>
      <w:type w:val="continuous"/>
      <w:pgSz w:w="11909" w:h="16834"/>
      <w:pgMar w:top="1021" w:right="1418" w:bottom="1021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04" w:rsidRDefault="00B27F04" w:rsidP="00D53F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7F04" w:rsidRDefault="00B27F04" w:rsidP="00D53F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04" w:rsidRDefault="00B27F04">
      <w:pPr>
        <w:rPr>
          <w:rFonts w:cs="Times New Roman"/>
        </w:rPr>
      </w:pPr>
    </w:p>
  </w:footnote>
  <w:footnote w:type="continuationSeparator" w:id="0">
    <w:p w:rsidR="00B27F04" w:rsidRDefault="00B27F04">
      <w:pPr>
        <w:rPr>
          <w:rFonts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F0" w:rsidRDefault="003B03F0">
    <w:pPr>
      <w:pStyle w:val="Nagwek"/>
      <w:rPr>
        <w:rFonts w:ascii="Tahoma" w:hAnsi="Tahoma" w:cs="Tahoma"/>
        <w:color w:val="808080"/>
      </w:rPr>
    </w:pPr>
  </w:p>
  <w:p w:rsidR="003B03F0" w:rsidRDefault="003B03F0">
    <w:pPr>
      <w:pStyle w:val="Nagwek"/>
      <w:rPr>
        <w:rFonts w:ascii="Tahoma" w:hAnsi="Tahoma" w:cs="Tahoma"/>
        <w:color w:val="808080"/>
      </w:rPr>
    </w:pPr>
  </w:p>
  <w:p w:rsidR="003B03F0" w:rsidRPr="00D573D9" w:rsidRDefault="00DA68D0" w:rsidP="003B03F0">
    <w:pPr>
      <w:pStyle w:val="Nagwek"/>
      <w:jc w:val="right"/>
      <w:rPr>
        <w:rFonts w:ascii="Tahoma" w:hAnsi="Tahoma" w:cs="Tahoma"/>
        <w:color w:val="auto"/>
        <w:sz w:val="20"/>
        <w:szCs w:val="20"/>
      </w:rPr>
    </w:pPr>
    <w:r>
      <w:rPr>
        <w:rFonts w:ascii="Tahoma" w:hAnsi="Tahoma" w:cs="Tahoma"/>
        <w:color w:val="auto"/>
        <w:sz w:val="20"/>
        <w:szCs w:val="20"/>
      </w:rPr>
      <w:t>Załącznik nr 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DE2"/>
    <w:multiLevelType w:val="multilevel"/>
    <w:tmpl w:val="EAF41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B4C43"/>
    <w:multiLevelType w:val="hybridMultilevel"/>
    <w:tmpl w:val="E1E8F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5035F"/>
    <w:multiLevelType w:val="hybridMultilevel"/>
    <w:tmpl w:val="025A9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87475"/>
    <w:multiLevelType w:val="hybridMultilevel"/>
    <w:tmpl w:val="F3E8CB26"/>
    <w:lvl w:ilvl="0" w:tplc="B2AC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E715DE"/>
    <w:multiLevelType w:val="hybridMultilevel"/>
    <w:tmpl w:val="3306F1CC"/>
    <w:lvl w:ilvl="0" w:tplc="17C2C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627D00"/>
    <w:multiLevelType w:val="hybridMultilevel"/>
    <w:tmpl w:val="8D545234"/>
    <w:lvl w:ilvl="0" w:tplc="FCA4E0D2">
      <w:start w:val="1"/>
      <w:numFmt w:val="lowerLetter"/>
      <w:lvlText w:val="%1)"/>
      <w:lvlJc w:val="left"/>
      <w:pPr>
        <w:ind w:left="360" w:hanging="360"/>
      </w:pPr>
      <w:rPr>
        <w:rFonts w:ascii="Tahoma" w:eastAsia="Arial Unicode MS" w:hAnsi="Tahom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E5E4C37"/>
    <w:multiLevelType w:val="hybridMultilevel"/>
    <w:tmpl w:val="FB521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95272A"/>
    <w:multiLevelType w:val="hybridMultilevel"/>
    <w:tmpl w:val="5F420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0470C"/>
    <w:multiLevelType w:val="hybridMultilevel"/>
    <w:tmpl w:val="CC9CFBFE"/>
    <w:lvl w:ilvl="0" w:tplc="17C2C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AF85545"/>
    <w:multiLevelType w:val="hybridMultilevel"/>
    <w:tmpl w:val="DC204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D004D"/>
    <w:multiLevelType w:val="multilevel"/>
    <w:tmpl w:val="2FB23CC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C65133E"/>
    <w:multiLevelType w:val="hybridMultilevel"/>
    <w:tmpl w:val="B190668C"/>
    <w:lvl w:ilvl="0" w:tplc="630AD86E">
      <w:start w:val="1"/>
      <w:numFmt w:val="lowerLetter"/>
      <w:lvlText w:val="%1)"/>
      <w:lvlJc w:val="left"/>
      <w:pPr>
        <w:ind w:left="720" w:hanging="360"/>
      </w:pPr>
      <w:rPr>
        <w:rFonts w:ascii="Tahoma" w:eastAsia="Arial Unicode MS" w:hAnsi="Tahom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2E85070"/>
    <w:multiLevelType w:val="hybridMultilevel"/>
    <w:tmpl w:val="AA38AD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170C8"/>
    <w:multiLevelType w:val="hybridMultilevel"/>
    <w:tmpl w:val="35C889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308F2"/>
    <w:multiLevelType w:val="hybridMultilevel"/>
    <w:tmpl w:val="28C47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F02A1"/>
    <w:multiLevelType w:val="multilevel"/>
    <w:tmpl w:val="153E55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2114DF3"/>
    <w:multiLevelType w:val="multilevel"/>
    <w:tmpl w:val="4C9A23B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9910E57"/>
    <w:multiLevelType w:val="hybridMultilevel"/>
    <w:tmpl w:val="B792D9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124C0"/>
    <w:multiLevelType w:val="hybridMultilevel"/>
    <w:tmpl w:val="B290AD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F642E4"/>
    <w:multiLevelType w:val="hybridMultilevel"/>
    <w:tmpl w:val="EF02AD70"/>
    <w:lvl w:ilvl="0" w:tplc="17C2C74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5"/>
  </w:num>
  <w:num w:numId="7">
    <w:abstractNumId w:val="19"/>
  </w:num>
  <w:num w:numId="8">
    <w:abstractNumId w:val="4"/>
  </w:num>
  <w:num w:numId="9">
    <w:abstractNumId w:val="1"/>
  </w:num>
  <w:num w:numId="10">
    <w:abstractNumId w:val="17"/>
  </w:num>
  <w:num w:numId="11">
    <w:abstractNumId w:val="14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5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oNotTrackMoves/>
  <w:defaultTabStop w:val="708"/>
  <w:hyphenationZone w:val="425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FF9"/>
    <w:rsid w:val="00003049"/>
    <w:rsid w:val="0002265E"/>
    <w:rsid w:val="00036A9F"/>
    <w:rsid w:val="000564CB"/>
    <w:rsid w:val="00080FF3"/>
    <w:rsid w:val="000B4D15"/>
    <w:rsid w:val="000C2320"/>
    <w:rsid w:val="00100654"/>
    <w:rsid w:val="0015167C"/>
    <w:rsid w:val="00167186"/>
    <w:rsid w:val="00184F57"/>
    <w:rsid w:val="001B5E75"/>
    <w:rsid w:val="0020078E"/>
    <w:rsid w:val="0020205A"/>
    <w:rsid w:val="00240D13"/>
    <w:rsid w:val="002A43F7"/>
    <w:rsid w:val="002A74ED"/>
    <w:rsid w:val="002B2C2F"/>
    <w:rsid w:val="002E6938"/>
    <w:rsid w:val="002F502B"/>
    <w:rsid w:val="002F61D2"/>
    <w:rsid w:val="003177C9"/>
    <w:rsid w:val="0032289E"/>
    <w:rsid w:val="0034499E"/>
    <w:rsid w:val="00357721"/>
    <w:rsid w:val="003B03F0"/>
    <w:rsid w:val="00400EDD"/>
    <w:rsid w:val="004260D8"/>
    <w:rsid w:val="004362BD"/>
    <w:rsid w:val="004B370B"/>
    <w:rsid w:val="004B6D04"/>
    <w:rsid w:val="004D3724"/>
    <w:rsid w:val="00531963"/>
    <w:rsid w:val="00533109"/>
    <w:rsid w:val="00571B58"/>
    <w:rsid w:val="00600B83"/>
    <w:rsid w:val="006348A7"/>
    <w:rsid w:val="00643BF0"/>
    <w:rsid w:val="006763B7"/>
    <w:rsid w:val="006C3137"/>
    <w:rsid w:val="006D7FBD"/>
    <w:rsid w:val="006E6B06"/>
    <w:rsid w:val="006E79CB"/>
    <w:rsid w:val="006F4AE8"/>
    <w:rsid w:val="0072409C"/>
    <w:rsid w:val="007331F1"/>
    <w:rsid w:val="0073336F"/>
    <w:rsid w:val="00743852"/>
    <w:rsid w:val="007638E2"/>
    <w:rsid w:val="00783730"/>
    <w:rsid w:val="00794AF6"/>
    <w:rsid w:val="007C5E1F"/>
    <w:rsid w:val="007C72EB"/>
    <w:rsid w:val="007D6A43"/>
    <w:rsid w:val="007E07BD"/>
    <w:rsid w:val="007F1848"/>
    <w:rsid w:val="008155B4"/>
    <w:rsid w:val="00816978"/>
    <w:rsid w:val="0081757C"/>
    <w:rsid w:val="0082551C"/>
    <w:rsid w:val="00877C81"/>
    <w:rsid w:val="00890F5E"/>
    <w:rsid w:val="008B0F98"/>
    <w:rsid w:val="008B7E96"/>
    <w:rsid w:val="008D26C7"/>
    <w:rsid w:val="0092098F"/>
    <w:rsid w:val="00933B19"/>
    <w:rsid w:val="00947268"/>
    <w:rsid w:val="009B67A4"/>
    <w:rsid w:val="00A201E5"/>
    <w:rsid w:val="00A41D7F"/>
    <w:rsid w:val="00A85A9C"/>
    <w:rsid w:val="00A95649"/>
    <w:rsid w:val="00AD1E20"/>
    <w:rsid w:val="00B27F04"/>
    <w:rsid w:val="00C03815"/>
    <w:rsid w:val="00C05CA0"/>
    <w:rsid w:val="00C96EEF"/>
    <w:rsid w:val="00CD5C33"/>
    <w:rsid w:val="00D04654"/>
    <w:rsid w:val="00D53FF9"/>
    <w:rsid w:val="00D573D9"/>
    <w:rsid w:val="00D67879"/>
    <w:rsid w:val="00D90F3F"/>
    <w:rsid w:val="00D977D9"/>
    <w:rsid w:val="00DA68D0"/>
    <w:rsid w:val="00DE1D54"/>
    <w:rsid w:val="00E436C3"/>
    <w:rsid w:val="00E62DBE"/>
    <w:rsid w:val="00EF7426"/>
    <w:rsid w:val="00F048BB"/>
    <w:rsid w:val="00F32D93"/>
    <w:rsid w:val="00F36D19"/>
    <w:rsid w:val="00F923F0"/>
    <w:rsid w:val="00F9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FF9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763B7"/>
    <w:pPr>
      <w:ind w:left="720"/>
    </w:pPr>
  </w:style>
  <w:style w:type="paragraph" w:styleId="NormalnyWeb">
    <w:name w:val="Normal (Web)"/>
    <w:basedOn w:val="Normalny"/>
    <w:uiPriority w:val="99"/>
    <w:rsid w:val="00400EDD"/>
    <w:pP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</w:rPr>
  </w:style>
  <w:style w:type="character" w:styleId="Uwydatnienie">
    <w:name w:val="Emphasis"/>
    <w:basedOn w:val="Domylnaczcionkaakapitu"/>
    <w:uiPriority w:val="99"/>
    <w:qFormat/>
    <w:locked/>
    <w:rsid w:val="00400EDD"/>
    <w:rPr>
      <w:b/>
      <w:bCs/>
      <w:color w:val="auto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B03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3F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B03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03F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3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3F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mswiatecki</dc:creator>
  <cp:lastModifiedBy>zsuchta</cp:lastModifiedBy>
  <cp:revision>5</cp:revision>
  <cp:lastPrinted>2012-12-12T11:18:00Z</cp:lastPrinted>
  <dcterms:created xsi:type="dcterms:W3CDTF">2017-12-07T11:46:00Z</dcterms:created>
  <dcterms:modified xsi:type="dcterms:W3CDTF">2017-12-08T07:20:00Z</dcterms:modified>
</cp:coreProperties>
</file>