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60C2A" w14:textId="520B755B" w:rsidR="00767AEF" w:rsidRPr="00736382" w:rsidRDefault="00767AEF" w:rsidP="00767AEF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bCs/>
          <w:sz w:val="22"/>
          <w:szCs w:val="22"/>
        </w:rPr>
        <w:t>2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a: </w:t>
      </w:r>
      <w:r w:rsidRPr="00736382">
        <w:rPr>
          <w:rFonts w:ascii="Times New Roman" w:hAnsi="Times New Roman" w:cs="Times New Roman"/>
          <w:b/>
          <w:bCs/>
          <w:sz w:val="22"/>
          <w:szCs w:val="22"/>
        </w:rPr>
        <w:t xml:space="preserve">Szczegółowy opis Przedmiotu Umowy w Etapie </w:t>
      </w:r>
      <w:r w:rsidR="00796EDF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736382">
        <w:rPr>
          <w:rFonts w:ascii="Times New Roman" w:hAnsi="Times New Roman" w:cs="Times New Roman"/>
          <w:b/>
          <w:bCs/>
          <w:sz w:val="22"/>
          <w:szCs w:val="22"/>
        </w:rPr>
        <w:t xml:space="preserve"> wraz z Kamieniami Milowymi Etapu </w:t>
      </w:r>
      <w:r w:rsidR="00796EDF">
        <w:rPr>
          <w:rFonts w:ascii="Times New Roman" w:hAnsi="Times New Roman" w:cs="Times New Roman"/>
          <w:b/>
          <w:bCs/>
          <w:sz w:val="22"/>
          <w:szCs w:val="22"/>
        </w:rPr>
        <w:t>2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gdzie Zamawiający reprezentowany jest przez Enea Nowa Energia Sp. z o.o.</w:t>
      </w:r>
    </w:p>
    <w:p w14:paraId="068AC89D" w14:textId="77777777" w:rsidR="0014417E" w:rsidRPr="002D08A9" w:rsidRDefault="0014417E" w:rsidP="002D08A9">
      <w:pPr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78798A5" w14:textId="1357AB22" w:rsidR="0014417E" w:rsidRPr="002D08A9" w:rsidRDefault="0014417E" w:rsidP="002D08A9">
      <w:pPr>
        <w:pStyle w:val="Akapitzlist"/>
        <w:numPr>
          <w:ilvl w:val="0"/>
          <w:numId w:val="4"/>
        </w:numPr>
        <w:spacing w:line="360" w:lineRule="auto"/>
        <w:rPr>
          <w:b/>
          <w:bCs/>
          <w:sz w:val="22"/>
          <w:szCs w:val="22"/>
        </w:rPr>
      </w:pPr>
      <w:r w:rsidRPr="002D08A9">
        <w:rPr>
          <w:b/>
          <w:bCs/>
          <w:sz w:val="22"/>
          <w:szCs w:val="22"/>
        </w:rPr>
        <w:t xml:space="preserve">Szczegółowy opis Przedmiotu Umowy w Etapie </w:t>
      </w:r>
      <w:r w:rsidR="00767AEF">
        <w:rPr>
          <w:b/>
          <w:bCs/>
          <w:sz w:val="22"/>
          <w:szCs w:val="22"/>
        </w:rPr>
        <w:t>2</w:t>
      </w:r>
    </w:p>
    <w:p w14:paraId="24F08605" w14:textId="77777777" w:rsidR="00E21B0C" w:rsidRPr="002D08A9" w:rsidRDefault="00E21B0C" w:rsidP="002D08A9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6A51FCC9" w14:textId="2F195C43" w:rsidR="00E21B0C" w:rsidRPr="002D08A9" w:rsidRDefault="00E21B0C" w:rsidP="002D08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Etap 2 obejmuje przeprowadzenie rzeczowej budowy, przebudowy, modernizacji i adaptacji, w tym z demontażem urządzeń, dostawą i montażem nowego wyposażenia, urządzeń, systemów, sieci technicznych, rozruchami, dokumentacją i jej uzgodnieniem z Zamawiającym, organami administracji samorządowej, rządowej i gestorami sieci, odpowiednio, wraz z:</w:t>
      </w:r>
    </w:p>
    <w:p w14:paraId="665B8F46" w14:textId="2D8ABAB6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uzyskaniem na rzecz Zamawiającego prawomocnej decyzji (w procesie administracyjnym rozpoczętym w Etapie 1</w:t>
      </w:r>
      <w:r w:rsidRPr="00900D06">
        <w:rPr>
          <w:sz w:val="22"/>
          <w:szCs w:val="22"/>
        </w:rPr>
        <w:t xml:space="preserve">, o którym mowa w </w:t>
      </w:r>
      <w:r w:rsidR="003B1BC1">
        <w:rPr>
          <w:sz w:val="22"/>
          <w:szCs w:val="22"/>
        </w:rPr>
        <w:t>załączniku nr 1 do Umowy</w:t>
      </w:r>
      <w:r w:rsidRPr="00900D06">
        <w:rPr>
          <w:sz w:val="22"/>
          <w:szCs w:val="22"/>
        </w:rPr>
        <w:t>) o środowiskowych uwarunkowaniach z klauzulą ostateczności dla zmienionych</w:t>
      </w:r>
      <w:r w:rsidRPr="002D08A9">
        <w:rPr>
          <w:sz w:val="22"/>
          <w:szCs w:val="22"/>
        </w:rPr>
        <w:t xml:space="preserve"> parametrów funkcjonowania Biogazowni Gorzesław po modernizacji, w tym szczególnie w kontekście nowych obiektów, gospodarki wodnej, gospodarki odpadowej wytwarzania, przetwarzania i magazynowania odpadów (adekwatnie dla zakres</w:t>
      </w:r>
      <w:r w:rsidR="0086345D">
        <w:rPr>
          <w:sz w:val="22"/>
          <w:szCs w:val="22"/>
        </w:rPr>
        <w:t>u</w:t>
      </w:r>
      <w:r w:rsidRPr="002D08A9">
        <w:rPr>
          <w:sz w:val="22"/>
          <w:szCs w:val="22"/>
        </w:rPr>
        <w:t xml:space="preserve"> rzeczow</w:t>
      </w:r>
      <w:r w:rsidR="0086345D">
        <w:rPr>
          <w:sz w:val="22"/>
          <w:szCs w:val="22"/>
        </w:rPr>
        <w:t>ego</w:t>
      </w:r>
      <w:r w:rsidRPr="002D08A9">
        <w:rPr>
          <w:sz w:val="22"/>
          <w:szCs w:val="22"/>
        </w:rPr>
        <w:t xml:space="preserve"> </w:t>
      </w:r>
      <w:r w:rsidR="0086345D">
        <w:rPr>
          <w:sz w:val="22"/>
          <w:szCs w:val="22"/>
        </w:rPr>
        <w:t>Enea Nowa Energia</w:t>
      </w:r>
      <w:r w:rsidRPr="002D08A9">
        <w:rPr>
          <w:sz w:val="22"/>
          <w:szCs w:val="22"/>
        </w:rPr>
        <w:t>);</w:t>
      </w:r>
    </w:p>
    <w:p w14:paraId="61944B9E" w14:textId="37C54553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uzyskaniem zatwierdzenia zakładu jako zakładu przetwarzania UPPZ (ubocznych produktów pochodzenia zwierzęcego, w tym wymagających poprzedzająco do procesu fermentacji procesu pasteryzacji) przez powiatowego lekarza weterynarii;</w:t>
      </w:r>
    </w:p>
    <w:p w14:paraId="1125C86A" w14:textId="109CDB10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uzyskaniem pozwolenia na użytkowanie Biogazowni Gorzesław po modernizacji (</w:t>
      </w:r>
      <w:r w:rsidR="005855A2" w:rsidRPr="002D08A9">
        <w:rPr>
          <w:sz w:val="22"/>
          <w:szCs w:val="22"/>
        </w:rPr>
        <w:t>adekwatnie dla zakres</w:t>
      </w:r>
      <w:r w:rsidR="005855A2">
        <w:rPr>
          <w:sz w:val="22"/>
          <w:szCs w:val="22"/>
        </w:rPr>
        <w:t>u</w:t>
      </w:r>
      <w:r w:rsidR="005855A2" w:rsidRPr="002D08A9">
        <w:rPr>
          <w:sz w:val="22"/>
          <w:szCs w:val="22"/>
        </w:rPr>
        <w:t xml:space="preserve"> rzeczow</w:t>
      </w:r>
      <w:r w:rsidR="005855A2">
        <w:rPr>
          <w:sz w:val="22"/>
          <w:szCs w:val="22"/>
        </w:rPr>
        <w:t>ego</w:t>
      </w:r>
      <w:r w:rsidR="005855A2" w:rsidRPr="002D08A9">
        <w:rPr>
          <w:sz w:val="22"/>
          <w:szCs w:val="22"/>
        </w:rPr>
        <w:t xml:space="preserve"> </w:t>
      </w:r>
      <w:r w:rsidR="005855A2">
        <w:rPr>
          <w:sz w:val="22"/>
          <w:szCs w:val="22"/>
        </w:rPr>
        <w:t>Enea Nowa Energia</w:t>
      </w:r>
      <w:r w:rsidRPr="002D08A9">
        <w:rPr>
          <w:sz w:val="22"/>
          <w:szCs w:val="22"/>
        </w:rPr>
        <w:t>);</w:t>
      </w:r>
    </w:p>
    <w:p w14:paraId="71864014" w14:textId="5E2AB60C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uzyskaniem pozwolenia na przetwarzanie, wytwarzanie, magazynowanie odpadów (względnie pozwolenie zintegrowane, przy przekroczeniu warunków progowych do kwalifikacji zakładu Biogazowni Gorzesław po modernizacji do pozwolenia zintegrowanego) wraz z poprzedzającym uzyskaniem decyzji o środowiskowych uwarunkowaniach w zakresie funkcjonowania Biogazowni Gorzesław po modernizacji nadającej zdolność do wytwarzania, magazynowania, przetwarzania odpadów odpowiednio oraz operatem przeciwpożarowym (</w:t>
      </w:r>
      <w:r w:rsidR="005855A2" w:rsidRPr="002D08A9">
        <w:rPr>
          <w:sz w:val="22"/>
          <w:szCs w:val="22"/>
        </w:rPr>
        <w:t>adekwatnie dla zakres</w:t>
      </w:r>
      <w:r w:rsidR="005855A2">
        <w:rPr>
          <w:sz w:val="22"/>
          <w:szCs w:val="22"/>
        </w:rPr>
        <w:t>u</w:t>
      </w:r>
      <w:r w:rsidR="005855A2" w:rsidRPr="002D08A9">
        <w:rPr>
          <w:sz w:val="22"/>
          <w:szCs w:val="22"/>
        </w:rPr>
        <w:t xml:space="preserve"> rzeczow</w:t>
      </w:r>
      <w:r w:rsidR="005855A2">
        <w:rPr>
          <w:sz w:val="22"/>
          <w:szCs w:val="22"/>
        </w:rPr>
        <w:t>ego</w:t>
      </w:r>
      <w:r w:rsidR="005855A2" w:rsidRPr="002D08A9">
        <w:rPr>
          <w:sz w:val="22"/>
          <w:szCs w:val="22"/>
        </w:rPr>
        <w:t xml:space="preserve"> </w:t>
      </w:r>
      <w:r w:rsidR="005855A2">
        <w:rPr>
          <w:sz w:val="22"/>
          <w:szCs w:val="22"/>
        </w:rPr>
        <w:t>Enea Nowa Energia</w:t>
      </w:r>
      <w:r w:rsidRPr="002D08A9">
        <w:rPr>
          <w:sz w:val="22"/>
          <w:szCs w:val="22"/>
        </w:rPr>
        <w:t>);</w:t>
      </w:r>
    </w:p>
    <w:p w14:paraId="46553A99" w14:textId="6EF52A56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synchronizacją z siecią elektroenergetyczną instalacji odnawialnego źródła energii;</w:t>
      </w:r>
    </w:p>
    <w:p w14:paraId="4EB5D8AC" w14:textId="236D396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uzyskaniem wpis</w:t>
      </w:r>
      <w:r w:rsidR="005855A2">
        <w:rPr>
          <w:sz w:val="22"/>
          <w:szCs w:val="22"/>
        </w:rPr>
        <w:t>u</w:t>
      </w:r>
      <w:r w:rsidRPr="002D08A9">
        <w:rPr>
          <w:sz w:val="22"/>
          <w:szCs w:val="22"/>
        </w:rPr>
        <w:t xml:space="preserve"> do rejestru KOWR (Krajowego Ośrodka Wsparcia Rolnictwa) wytwórców biogazu rolniczego dotyczący wytwarzaniu biogazu rolniczego o ekwiwalentnej ilości energii pierwotnej biogazu rolniczego, odpowiadającej ciągłym potrzebom jednostki kogeneracji o mocy elektrycznej zainstalowanej 999 kW pracującej w trybie ciągłym, przy czym dopuszcza się</w:t>
      </w:r>
      <w:r w:rsidR="005855A2">
        <w:rPr>
          <w:sz w:val="22"/>
          <w:szCs w:val="22"/>
        </w:rPr>
        <w:t>,</w:t>
      </w:r>
      <w:r w:rsidRPr="002D08A9">
        <w:rPr>
          <w:sz w:val="22"/>
          <w:szCs w:val="22"/>
        </w:rPr>
        <w:t xml:space="preserve"> aby </w:t>
      </w:r>
      <w:r w:rsidR="005855A2">
        <w:rPr>
          <w:sz w:val="22"/>
          <w:szCs w:val="22"/>
        </w:rPr>
        <w:t>wpis</w:t>
      </w:r>
      <w:r w:rsidRPr="002D08A9">
        <w:rPr>
          <w:sz w:val="22"/>
          <w:szCs w:val="22"/>
        </w:rPr>
        <w:t xml:space="preserve"> dotyczył zmiany wpisu do rejestru posiadanego przez Zamawiającego odpowiednio;</w:t>
      </w:r>
    </w:p>
    <w:p w14:paraId="31461733" w14:textId="59837B2F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wprowadzeniem w ruch ciągły Biogazowni Gorzesław po modernizacji z osiągnięciem i utrzymaniem pełnej mocy wytwórczej w trybie ciągłym (</w:t>
      </w:r>
      <w:r w:rsidR="005855A2">
        <w:rPr>
          <w:sz w:val="22"/>
          <w:szCs w:val="22"/>
        </w:rPr>
        <w:t xml:space="preserve">dotyczy </w:t>
      </w:r>
      <w:r w:rsidRPr="002D08A9">
        <w:rPr>
          <w:sz w:val="22"/>
          <w:szCs w:val="22"/>
        </w:rPr>
        <w:t>mocy w paliwie);</w:t>
      </w:r>
    </w:p>
    <w:p w14:paraId="68F4DBC3" w14:textId="71ED200F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>wymagane przepisami zgłoszenia w zakresie czynnika chłodniczego CRO, zbiorników ciśnieniowych w urządzenie dozoru technicznego, emisji itp. (dla zakresów rzeczowych i użytkowych Biogazowni Gorzesław poddawanej modernizacji</w:t>
      </w:r>
      <w:r w:rsidR="005855A2" w:rsidRPr="002D08A9">
        <w:rPr>
          <w:sz w:val="22"/>
          <w:szCs w:val="22"/>
        </w:rPr>
        <w:t xml:space="preserve"> </w:t>
      </w:r>
      <w:r w:rsidR="005855A2">
        <w:rPr>
          <w:sz w:val="22"/>
          <w:szCs w:val="22"/>
        </w:rPr>
        <w:t>Enea Nowa Energia</w:t>
      </w:r>
      <w:r w:rsidRPr="002D08A9">
        <w:rPr>
          <w:sz w:val="22"/>
          <w:szCs w:val="22"/>
        </w:rPr>
        <w:t>);</w:t>
      </w:r>
    </w:p>
    <w:p w14:paraId="149FB8AF" w14:textId="6866226F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wykonanie przyłącza SN i stacji transformatorowej o mocy przyłączeniowej 250 kW (o ile Strony nie uzgodnią innej wartości mocy przyłączeniowej, z zastrzeżeniem, że moc umowna uzgodniona zostanie w dokumentacji projektowej na mniejszym poziomie o wartości 180 kW) zasilających potrzeby własne wraz z przeorganizowaniem zasilania potrzeb własnych Enea Nowa Energia Sp. z o.o. zmieniając zasady zasilania z dwukierunkowego opisanego w PFU na wyodrębnione zasilanie wszystkich potrzeb Enea Nowa Energia Sp. z o.o. z projektowanego odrębnego przyłącza, pozostawiając zasilanie z istniejącego przyłącza i adaptowanej pod nową jednostkę kogeneracji istniejącej stacji transformatorowej pod wyłączne potrzeby zasilania potrzeb ENEBIOGAZ 1 Sp. z o.o. Zakres tych prac obejmuje również zmianę rzeczową zasilania potrzeb własnych poprzez odpowiednie modyfikacje sieci technicznych, w tym tras kablowych. Zakres, o którym mowa w tym punkcie wchodzi do Przedmiotu Umowy, jeżeli Zamawiający skorzysta z prawa opcji tj. po spełnieniu warunków, o których mowa </w:t>
      </w:r>
      <w:r w:rsidR="005855A2">
        <w:rPr>
          <w:sz w:val="22"/>
          <w:szCs w:val="22"/>
        </w:rPr>
        <w:t>Załączniku nr 3</w:t>
      </w:r>
      <w:r w:rsidRPr="002D08A9">
        <w:rPr>
          <w:sz w:val="22"/>
          <w:szCs w:val="22"/>
        </w:rPr>
        <w:t>, powierzając wycenione przez Wykonawcę prace określone w Formularzu Oferty jako „Opcja 1b”.</w:t>
      </w:r>
    </w:p>
    <w:p w14:paraId="4E7CDA2E" w14:textId="44B24EE2" w:rsidR="00E21B0C" w:rsidRPr="00225F7E" w:rsidRDefault="005855A2" w:rsidP="00225F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przeprowadzeniem przeglądów okresowych i serwisowych</w:t>
      </w:r>
      <w:r w:rsidR="00225F7E">
        <w:rPr>
          <w:sz w:val="22"/>
          <w:szCs w:val="22"/>
        </w:rPr>
        <w:t xml:space="preserve"> wymaganych przez producentów urządzeń;</w:t>
      </w:r>
    </w:p>
    <w:p w14:paraId="26CAF0ED" w14:textId="7A768367" w:rsidR="00E21B0C" w:rsidRPr="002D08A9" w:rsidRDefault="00E21B0C" w:rsidP="002D08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Zakres Przedmiotu Umowy (modernizacji Biogazowni Gorzesław w zakresie funkcjonalności eksploatacyjnej), odpowiadający instalacji do wytwarzania biogazu rolniczego i infrastrukturze towarzyszącej przypisany będzie spółce Enea Nowa Energia</w:t>
      </w:r>
      <w:r w:rsidR="00225F7E">
        <w:rPr>
          <w:sz w:val="22"/>
          <w:szCs w:val="22"/>
        </w:rPr>
        <w:t xml:space="preserve">, </w:t>
      </w:r>
      <w:r w:rsidRPr="002D08A9">
        <w:rPr>
          <w:sz w:val="22"/>
          <w:szCs w:val="22"/>
        </w:rPr>
        <w:t>zgodnie z poniższym zestawieniem:</w:t>
      </w:r>
    </w:p>
    <w:p w14:paraId="0056960A" w14:textId="77777777" w:rsidR="00E21B0C" w:rsidRPr="002D08A9" w:rsidRDefault="00E21B0C" w:rsidP="00225F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przyjęcia, magazynowania, przetwarzania (ewidencja, przyjęcie, wydawanie, załadunek </w:t>
      </w:r>
      <w:r w:rsidRPr="002D08A9">
        <w:rPr>
          <w:bCs/>
          <w:sz w:val="22"/>
          <w:szCs w:val="22"/>
          <w:lang w:eastAsia="pl-PL"/>
        </w:rPr>
        <w:t>(za pomocą ładowarki czołowej, która jest na wyposażeniu spółki Enea Nowa Energia, a informacja ta podana jest na potrzeby planowania procesów dokumentacji oceny oddziaływania na środowisko oraz projektowania odpowiednich wniosków w zakresie emisji i odpadów)</w:t>
      </w:r>
      <w:r w:rsidRPr="002D08A9">
        <w:rPr>
          <w:sz w:val="22"/>
          <w:szCs w:val="22"/>
        </w:rPr>
        <w:t xml:space="preserve">, rozdrabnianie, higienizacja, homogenizacja, o ile procesy te dotyczą) substratów (w tym odpadów i UPPZ), </w:t>
      </w:r>
    </w:p>
    <w:p w14:paraId="14C6A75F" w14:textId="77777777" w:rsidR="00E21B0C" w:rsidRPr="002D08A9" w:rsidRDefault="00E21B0C" w:rsidP="00225F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wytwarzania, magazynowania, uzdatniania (redukcja wilgotności w wyniku schładzania, odsiarczania, podnoszenia ciśnienia) do parametrów jakościowo spełniających wymogi producenta silnika gazowego), awaryjnego uwalniania, w tym spalania biogazu rolniczego w pochodni;</w:t>
      </w:r>
    </w:p>
    <w:p w14:paraId="240FA1A9" w14:textId="77777777" w:rsidR="00E21B0C" w:rsidRPr="002D08A9" w:rsidRDefault="00E21B0C" w:rsidP="00225F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wytwarzania i magazynowania produktów pofermentacyjnych do nawożenia;</w:t>
      </w:r>
    </w:p>
    <w:p w14:paraId="06B99071" w14:textId="77777777" w:rsidR="00E21B0C" w:rsidRPr="002D08A9" w:rsidRDefault="00E21B0C" w:rsidP="00225F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zagospodarowania wytwarzanego w kogeneracji ciepła w celach użytkowych;</w:t>
      </w:r>
    </w:p>
    <w:p w14:paraId="17E70603" w14:textId="77777777" w:rsidR="00E21B0C" w:rsidRPr="002D08A9" w:rsidRDefault="00E21B0C" w:rsidP="00225F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dystrybucji produktów pofermentacyjnych do nawożenia;</w:t>
      </w:r>
    </w:p>
    <w:p w14:paraId="14DE5518" w14:textId="77777777" w:rsidR="00E21B0C" w:rsidRPr="002D08A9" w:rsidRDefault="00E21B0C" w:rsidP="00225F7E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utrzymanie w ruchu, w tym poprzez dokonywanie przeglądów, serwisowania i obsługi instalacji do wytwarzania biogazu rolniczego wraz z infrastrukturą towarzyszącą;</w:t>
      </w:r>
    </w:p>
    <w:p w14:paraId="33255B7D" w14:textId="108E69BD" w:rsidR="00E21B0C" w:rsidRPr="002D08A9" w:rsidRDefault="00E21B0C" w:rsidP="002D08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Zakres Przedmiotu Umowy (modernizacji Biogazowni Gorzesław w zakresie rzeczowym) odpowiadający instalacji do wytwarzania biogazu i infrastrukturze towarzyszącej przypisany będzie spółce Enea Nowa Energia, (zgodnie z poniższym zestawieniem):</w:t>
      </w:r>
    </w:p>
    <w:p w14:paraId="641F1D8F" w14:textId="47A3A322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 xml:space="preserve">Zakres objęty Przedmiotem Umowy przynależny do spółki Enea Nowa Energia, obejmuje </w:t>
      </w:r>
      <w:r w:rsidR="00225F7E">
        <w:rPr>
          <w:sz w:val="22"/>
          <w:szCs w:val="22"/>
        </w:rPr>
        <w:t xml:space="preserve">wszystkie </w:t>
      </w:r>
      <w:r w:rsidRPr="002D08A9">
        <w:rPr>
          <w:sz w:val="22"/>
          <w:szCs w:val="22"/>
        </w:rPr>
        <w:t>pozostałe obiekty, infrastrukturę, dokumentację (przygotowywaną w ramach Etapu 2)</w:t>
      </w:r>
      <w:r w:rsidR="00225F7E">
        <w:rPr>
          <w:sz w:val="22"/>
          <w:szCs w:val="22"/>
        </w:rPr>
        <w:t xml:space="preserve"> nie wyszczególnioną w Załączniku nr 2b Umowy</w:t>
      </w:r>
      <w:r w:rsidRPr="002D08A9">
        <w:rPr>
          <w:sz w:val="22"/>
          <w:szCs w:val="22"/>
        </w:rPr>
        <w:t xml:space="preserve">. </w:t>
      </w:r>
    </w:p>
    <w:p w14:paraId="18BDF4AE" w14:textId="77777777" w:rsidR="00E21B0C" w:rsidRPr="002D08A9" w:rsidRDefault="00E21B0C" w:rsidP="002D08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Przedmiot Umowy w zakresie rzeczowym Etapu 2, obejmuje:</w:t>
      </w:r>
    </w:p>
    <w:p w14:paraId="4A60891B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Demontaż i utylizację elementów demontowanych:</w:t>
      </w:r>
    </w:p>
    <w:p w14:paraId="7478BF1A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Wszystkich pokryć dachowych PCV (na zbiornikach fermentacyjnych i magazynowym) – na rzecz spółki Enea Nowa Energia;</w:t>
      </w:r>
    </w:p>
    <w:p w14:paraId="574830AB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Wszystkich mieszadeł procesowych w zbiornikach – na rzecz spółki Enea Nowa Energia;</w:t>
      </w:r>
    </w:p>
    <w:p w14:paraId="07800371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Wyłączenie funkcjonalne z odzysku biogazu resztkowego poprzez odcięcie odpowiednich sieci gazowych w zbiorniku magazynującym nawozy pofermentacyjne (poziom napełnienia zbiornika jest zmienny w czasie i będzie powodować utrudnienie czynności odbioru gazu z zachowaniem bezpieczeństwa systemu) – na rzecz spółki Enea Nowa Energia;</w:t>
      </w:r>
    </w:p>
    <w:p w14:paraId="5510A811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Odcięcie i demontaż sieci gazowej między zbiornikami fermentacji I </w:t>
      </w:r>
      <w:proofErr w:type="spellStart"/>
      <w:r w:rsidRPr="002D08A9">
        <w:rPr>
          <w:sz w:val="22"/>
          <w:szCs w:val="22"/>
        </w:rPr>
        <w:t>i</w:t>
      </w:r>
      <w:proofErr w:type="spellEnd"/>
      <w:r w:rsidRPr="002D08A9">
        <w:rPr>
          <w:sz w:val="22"/>
          <w:szCs w:val="22"/>
        </w:rPr>
        <w:t xml:space="preserve"> fermentacji II wraz z konstrukcją i spornikami i ich fundamenty (zwiększając przestrzeń do prac realizacyjnych i serwisowych przy eksploatacji) – na rzecz spółki Enea Nowa Energia;</w:t>
      </w:r>
    </w:p>
    <w:p w14:paraId="7B0C7FD8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Demontaż sieci gazowej na odcinku od punktu włączenia nowej sieci gazowej odbierającej biogaz z komór fermentacyjnych I </w:t>
      </w:r>
      <w:proofErr w:type="spellStart"/>
      <w:r w:rsidRPr="002D08A9">
        <w:rPr>
          <w:sz w:val="22"/>
          <w:szCs w:val="22"/>
        </w:rPr>
        <w:t>i</w:t>
      </w:r>
      <w:proofErr w:type="spellEnd"/>
      <w:r w:rsidRPr="002D08A9">
        <w:rPr>
          <w:sz w:val="22"/>
          <w:szCs w:val="22"/>
        </w:rPr>
        <w:t xml:space="preserve"> II, do ujęcia gazu ze zbiornika magazynującego nawóz pofermentacyjny – na rzecz spółki Enea Nowa Energia; </w:t>
      </w:r>
    </w:p>
    <w:p w14:paraId="29918259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Odciąć i zdemontować odcinek sieci między zbiornikiem fermentacji II, a zbiornikiem magazynującym nawóz pofermentacyjny wraz z konstrukcją i spornikami i ich fundamenty – na rzecz spółki Enea Nowa Energia;</w:t>
      </w:r>
    </w:p>
    <w:p w14:paraId="4E4253FE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Zdemontować i zutylizować niesprawny sprzęt, instalacje, których nie da się wykorzystać – na rzecz spółki Enea Nowa Energia; </w:t>
      </w:r>
    </w:p>
    <w:p w14:paraId="61C5F5C8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Wymianę na nowe lub doposażenie:</w:t>
      </w:r>
    </w:p>
    <w:p w14:paraId="0272F272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Dostawa i montaż pokryć dachowych w zbiornikach procesowych wraz z systemem mocowań i zaworów bezpieczeństwa oraz dmuchaw powietrza – na rzecz spółki Enea Nowa Energia:</w:t>
      </w:r>
    </w:p>
    <w:p w14:paraId="0ECBAB66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System membran (</w:t>
      </w:r>
      <w:proofErr w:type="gramStart"/>
      <w:r w:rsidRPr="002D08A9">
        <w:rPr>
          <w:sz w:val="22"/>
          <w:szCs w:val="22"/>
        </w:rPr>
        <w:t>dwu-warstwowych</w:t>
      </w:r>
      <w:proofErr w:type="gramEnd"/>
      <w:r w:rsidRPr="002D08A9">
        <w:rPr>
          <w:sz w:val="22"/>
          <w:szCs w:val="22"/>
        </w:rPr>
        <w:t>) na zbiorniku fermentacji I, dedykowane na warunki geograficzne lokalizacji Gorzesław,</w:t>
      </w:r>
    </w:p>
    <w:p w14:paraId="367B3370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System membran (</w:t>
      </w:r>
      <w:proofErr w:type="gramStart"/>
      <w:r w:rsidRPr="002D08A9">
        <w:rPr>
          <w:sz w:val="22"/>
          <w:szCs w:val="22"/>
        </w:rPr>
        <w:t>dwu-warstwowych</w:t>
      </w:r>
      <w:proofErr w:type="gramEnd"/>
      <w:r w:rsidRPr="002D08A9">
        <w:rPr>
          <w:sz w:val="22"/>
          <w:szCs w:val="22"/>
        </w:rPr>
        <w:t>) na zbiorniku fermentacji II, dedykowane na warunki geograficzne lokalizacji Gorzesław</w:t>
      </w:r>
    </w:p>
    <w:p w14:paraId="2F710FD4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Niegazoszczelne pokrycie dachowe w zbiorniku magazynującym nawóz pofermentacyjny.</w:t>
      </w:r>
    </w:p>
    <w:p w14:paraId="1F78FE13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Dostawę i montaż nowych mieszadeł w zbiorniku wstępnym, dwóch zbiornikach fermentacyjnych i w zbiorniku magazynującym nawozy pofermentacyjne – na rzecz spółki Enea Nowa Energia:</w:t>
      </w:r>
    </w:p>
    <w:p w14:paraId="7FB7F25E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Zastosować min. po 2 nowe mieszadła szybko obrotowe zatapialne oraz po 2 nowe mieszadła średnio obrotowe zatapialne na każdy zbiornik fermentacji z silnikami </w:t>
      </w:r>
      <w:r w:rsidRPr="002D08A9">
        <w:rPr>
          <w:sz w:val="22"/>
          <w:szCs w:val="22"/>
        </w:rPr>
        <w:lastRenderedPageBreak/>
        <w:t>każdy o mocy nie mniejszej niż 15 kW (zastosować falowniki rozruchowe), wraz z nowymi systemami prowadnic ze stali nierdzewnej,</w:t>
      </w:r>
    </w:p>
    <w:p w14:paraId="4EDA0DB0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Zastosować min. 3 szt. mieszadła szybkoobrotowe w zbiorniku magazynującym nawozy pofermentacyjne w wersji EX, każde o mocy silnika nie mniejszym niż 15 kW (zastosować falowniki rozruchowe), wraz z nowymi systemami prowadnic ze stali nierdzewnej,</w:t>
      </w:r>
    </w:p>
    <w:p w14:paraId="1E4BF76D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Zastosować nie mniej niż 1 mieszadło zatapialne w zbiorniku wstępnym o mocy silnika nie mniejszym niż 15 kW (zastosować falownik rozruchowy); dopuszcza się zastosowanie dwóch mieszadeł o mniejszych mocach silników</w:t>
      </w:r>
    </w:p>
    <w:p w14:paraId="635FC5F2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Dostawę i montaż nowych włazów rewizyjnych z systemami pomiarowymi w zbiorniku wstępnym, fermentacyjnych i magazynującym nawóz pofermentacyjny – na rzecz spółki Enea Nowa Energia:</w:t>
      </w:r>
    </w:p>
    <w:p w14:paraId="6C39BB57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Czujnik temperatury, </w:t>
      </w:r>
    </w:p>
    <w:p w14:paraId="7DD4DE0E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Czujnik poziomu napełnienia, </w:t>
      </w:r>
    </w:p>
    <w:p w14:paraId="6A57BD0A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Czujnik </w:t>
      </w:r>
      <w:proofErr w:type="spellStart"/>
      <w:r w:rsidRPr="002D08A9">
        <w:rPr>
          <w:sz w:val="22"/>
          <w:szCs w:val="22"/>
        </w:rPr>
        <w:t>pH</w:t>
      </w:r>
      <w:proofErr w:type="spellEnd"/>
      <w:r w:rsidRPr="002D08A9">
        <w:rPr>
          <w:sz w:val="22"/>
          <w:szCs w:val="22"/>
        </w:rPr>
        <w:t xml:space="preserve"> medium w zbiorniku, </w:t>
      </w:r>
    </w:p>
    <w:p w14:paraId="42FC0F82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Dostawę i montaż czujników ciśnienia i objętości gazu w zbiornikach fermentacyjnych – na rzecz spółki Enea Nowa Energia;</w:t>
      </w:r>
    </w:p>
    <w:p w14:paraId="5AEBD720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spellStart"/>
      <w:r w:rsidRPr="002D08A9">
        <w:rPr>
          <w:sz w:val="22"/>
          <w:szCs w:val="22"/>
        </w:rPr>
        <w:t>Dostawaę</w:t>
      </w:r>
      <w:proofErr w:type="spellEnd"/>
      <w:r w:rsidRPr="002D08A9">
        <w:rPr>
          <w:sz w:val="22"/>
          <w:szCs w:val="22"/>
        </w:rPr>
        <w:t xml:space="preserve"> i montaż systemów zasilania powietrza do biologicznego odsiarczania – na rzecz spółki Enea Nowa Energia;</w:t>
      </w:r>
    </w:p>
    <w:p w14:paraId="24A8CBDB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Dostawę i montaż linii odsiarczania biologicznego (zastosować dysze wokoło każdego ze zbiorników fermentacji) – na rzecz spółki Enea Nowa Energia; </w:t>
      </w:r>
    </w:p>
    <w:p w14:paraId="7AA1533E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Dostawę i montaż stacji dozowania </w:t>
      </w:r>
      <w:proofErr w:type="spellStart"/>
      <w:r w:rsidRPr="002D08A9">
        <w:rPr>
          <w:sz w:val="22"/>
          <w:szCs w:val="22"/>
        </w:rPr>
        <w:t>addytywów</w:t>
      </w:r>
      <w:proofErr w:type="spellEnd"/>
      <w:r w:rsidRPr="002D08A9">
        <w:rPr>
          <w:sz w:val="22"/>
          <w:szCs w:val="22"/>
        </w:rPr>
        <w:t xml:space="preserve"> – na rzecz spółki Enea Nowa Energia:</w:t>
      </w:r>
    </w:p>
    <w:p w14:paraId="1A0364B1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Stacja stanowi dwa zbiorniki typu mauzer lub równoważne, każdy o pojemności ok. 1 m3 wraz z instalacją do wyprowadzania zawartych w nich cieczy bezpośrednio do komór fermentacji. Zbiornik i instalacje powinny umożliwiać dozować chlorek żelaza w płynnej postaci do procesu fermentacji w celu redukcji siarkowodoru powstającego w procesie fermentacji oraz (niezależnie) </w:t>
      </w:r>
      <w:proofErr w:type="spellStart"/>
      <w:r w:rsidRPr="002D08A9">
        <w:rPr>
          <w:sz w:val="22"/>
          <w:szCs w:val="22"/>
        </w:rPr>
        <w:t>odpieniaczy</w:t>
      </w:r>
      <w:proofErr w:type="spellEnd"/>
      <w:r w:rsidRPr="002D08A9">
        <w:rPr>
          <w:sz w:val="22"/>
          <w:szCs w:val="22"/>
        </w:rPr>
        <w:t xml:space="preserve">. Zakłada się instalację 2 zbiorników oraz instalację z pompą dozującą, instalacją rurową i armaturą z tworzywa sztucznego dostosowana do dozowania substancji silnie korozyjnych. </w:t>
      </w:r>
    </w:p>
    <w:p w14:paraId="0F3A94D3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 skład stacji wchodzą:</w:t>
      </w:r>
    </w:p>
    <w:p w14:paraId="556C10CF" w14:textId="77777777" w:rsidR="00E21B0C" w:rsidRPr="002D08A9" w:rsidRDefault="00E21B0C" w:rsidP="002D08A9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zbiorniki magazynowe typu mauzer o pojemności 1000 dm</w:t>
      </w:r>
      <w:r w:rsidRPr="002D08A9">
        <w:rPr>
          <w:sz w:val="22"/>
          <w:szCs w:val="22"/>
          <w:vertAlign w:val="superscript"/>
        </w:rPr>
        <w:t>3</w:t>
      </w:r>
      <w:r w:rsidRPr="002D08A9">
        <w:rPr>
          <w:sz w:val="22"/>
          <w:szCs w:val="22"/>
        </w:rPr>
        <w:t>: 2 szt.</w:t>
      </w:r>
    </w:p>
    <w:p w14:paraId="2DCDAAD8" w14:textId="77777777" w:rsidR="00E21B0C" w:rsidRPr="002D08A9" w:rsidRDefault="00E21B0C" w:rsidP="002D08A9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pompa dozująca,</w:t>
      </w:r>
    </w:p>
    <w:p w14:paraId="461FEB8C" w14:textId="77777777" w:rsidR="00E21B0C" w:rsidRPr="002D08A9" w:rsidRDefault="00E21B0C" w:rsidP="002D08A9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instalacja z armaturą 100% z tworzywa sztucznego doprowadzająca </w:t>
      </w:r>
      <w:proofErr w:type="spellStart"/>
      <w:r w:rsidRPr="002D08A9">
        <w:rPr>
          <w:sz w:val="22"/>
          <w:szCs w:val="22"/>
        </w:rPr>
        <w:t>addytywy</w:t>
      </w:r>
      <w:proofErr w:type="spellEnd"/>
      <w:r w:rsidRPr="002D08A9">
        <w:rPr>
          <w:sz w:val="22"/>
          <w:szCs w:val="22"/>
        </w:rPr>
        <w:t xml:space="preserve"> do trzech komór fermentacyjnych.</w:t>
      </w:r>
    </w:p>
    <w:p w14:paraId="519C33D9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>Dostawę i montaż wizjerów okiennych po 2 szt. na każdy ze zbiorników fermentacyjnych i magazynujący nawozy pofermentacyjne, w tym 1 z lampą, drugi z systemem przepłukiwania wewnętrznej warstwy okna – na rzecz spółki Enea Nowa Energia;</w:t>
      </w:r>
    </w:p>
    <w:p w14:paraId="707DEB70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Wyposażenie każdego ze zbiorników w rezerwowy króciec z zasuwą na potrzeby awaryjnego opróżniania każdego ze zbiorników (od strony wewnętrznej w zbiorniku z zintegrowaną i szczelną rurą poboru zanurzoną poniżej dolnego poziomu włazu w danym zbiorniku) – na rzecz spółki Enea Nowa Energia,</w:t>
      </w:r>
    </w:p>
    <w:p w14:paraId="29BE1F33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Zakup i montaż stacjonarnego analizatora biogazu (dwupunktowy tj. przed filtrem i po filtrze i min. możliwość pomiaru gazów: CH</w:t>
      </w:r>
      <w:r w:rsidRPr="002D08A9">
        <w:rPr>
          <w:sz w:val="22"/>
          <w:szCs w:val="22"/>
          <w:vertAlign w:val="subscript"/>
        </w:rPr>
        <w:t>4</w:t>
      </w:r>
      <w:r w:rsidRPr="002D08A9">
        <w:rPr>
          <w:sz w:val="22"/>
          <w:szCs w:val="22"/>
        </w:rPr>
        <w:t>, CO</w:t>
      </w:r>
      <w:r w:rsidRPr="002D08A9">
        <w:rPr>
          <w:sz w:val="22"/>
          <w:szCs w:val="22"/>
          <w:vertAlign w:val="subscript"/>
        </w:rPr>
        <w:t>2</w:t>
      </w:r>
      <w:r w:rsidRPr="002D08A9">
        <w:rPr>
          <w:sz w:val="22"/>
          <w:szCs w:val="22"/>
        </w:rPr>
        <w:t>, O</w:t>
      </w:r>
      <w:r w:rsidRPr="002D08A9">
        <w:rPr>
          <w:sz w:val="22"/>
          <w:szCs w:val="22"/>
          <w:vertAlign w:val="subscript"/>
        </w:rPr>
        <w:t>2</w:t>
      </w:r>
      <w:r w:rsidRPr="002D08A9">
        <w:rPr>
          <w:sz w:val="22"/>
          <w:szCs w:val="22"/>
        </w:rPr>
        <w:t>, H</w:t>
      </w:r>
      <w:r w:rsidRPr="002D08A9">
        <w:rPr>
          <w:sz w:val="22"/>
          <w:szCs w:val="22"/>
          <w:vertAlign w:val="subscript"/>
        </w:rPr>
        <w:t>2</w:t>
      </w:r>
      <w:r w:rsidRPr="002D08A9">
        <w:rPr>
          <w:sz w:val="22"/>
          <w:szCs w:val="22"/>
        </w:rPr>
        <w:t>S) – na rzecz spółki Enea Nowa Energia;</w:t>
      </w:r>
    </w:p>
    <w:p w14:paraId="7DBFB693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Budowę nowych obiektów tj.:</w:t>
      </w:r>
    </w:p>
    <w:p w14:paraId="5BA09318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Budowę fundamentu dedykowanego linii higienizacji UPPZ III kategorii z dostawą linii higienizacji o pojemności 30 m</w:t>
      </w:r>
      <w:r w:rsidRPr="002D08A9">
        <w:rPr>
          <w:sz w:val="22"/>
          <w:szCs w:val="22"/>
          <w:vertAlign w:val="superscript"/>
        </w:rPr>
        <w:t>3</w:t>
      </w:r>
      <w:r w:rsidRPr="002D08A9">
        <w:rPr>
          <w:sz w:val="22"/>
          <w:szCs w:val="22"/>
        </w:rPr>
        <w:t xml:space="preserve"> w postaci zbiornika ze stali szlachetnej z filtrem </w:t>
      </w:r>
      <w:proofErr w:type="spellStart"/>
      <w:r w:rsidRPr="002D08A9">
        <w:rPr>
          <w:sz w:val="22"/>
          <w:szCs w:val="22"/>
        </w:rPr>
        <w:t>odoryzacji</w:t>
      </w:r>
      <w:proofErr w:type="spellEnd"/>
      <w:r w:rsidRPr="002D08A9">
        <w:rPr>
          <w:sz w:val="22"/>
          <w:szCs w:val="22"/>
        </w:rPr>
        <w:t>, króćcem i pompą zasilania medium oraz odrębną pompą zrzutu medium po procesie do zbiornika – na rzecz spółki Enea Nowa Energia;</w:t>
      </w:r>
    </w:p>
    <w:p w14:paraId="3A37E1F3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Budowę kontenerowej suszarni drewna opałowego na fundamencie zasilanej ciepłem z kogeneracji o mocy odbiorczej ciepła nie mniejszej niż 900 kW – na rzecz spółki Enea Nowa Energia;</w:t>
      </w:r>
    </w:p>
    <w:p w14:paraId="0CE40624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Budowę (pod)ziemnego zbiornika wstępnego (homogenizującego mieszankę substratów) z klapą w stropie umożliwiającym wprowadzanie stałej biomasy wyładowywanej bezpośrednio z kontenerów, mauzerów lub z wykorzystaniem łyżki ładowarki czołowej, nabierającej masę sypką z placu wyładunkowego – na rzecz spółki Enea Nowa Energia:</w:t>
      </w:r>
    </w:p>
    <w:p w14:paraId="22CC44E8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Położonego między komorą fermentacji ZF-I, a istniejącym naziemnym zbiornikiem wstępnym,</w:t>
      </w:r>
    </w:p>
    <w:p w14:paraId="117C4A1B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 klapą w stropie automatycznie otwieraną i zamykaną,</w:t>
      </w:r>
    </w:p>
    <w:p w14:paraId="6833AEC5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Odpowiednio zabezpieczony przeciw korozyjnie, </w:t>
      </w:r>
    </w:p>
    <w:p w14:paraId="21C4A7EA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Wyposażony w 2 szt. mieszadła szybkoobrotowe zatapialne oraz 1 szt. mieszadło z pompą docinającą,</w:t>
      </w:r>
    </w:p>
    <w:p w14:paraId="106A8883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Wyposażony w zgarniacz piasku (nieodzowny element skojarzony z pomiotem drobiowym) z jego wyniesieniem poza zbiornik bezpośrednio do ustawionego obok kontenera (do zagospodarowania nawozowego przez lokalnych rolników),</w:t>
      </w:r>
    </w:p>
    <w:p w14:paraId="6203CE86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Wyposażony w odpowiedni układ czujników napełnienia, </w:t>
      </w:r>
      <w:proofErr w:type="spellStart"/>
      <w:r w:rsidRPr="002D08A9">
        <w:rPr>
          <w:sz w:val="22"/>
          <w:szCs w:val="22"/>
        </w:rPr>
        <w:t>pH</w:t>
      </w:r>
      <w:proofErr w:type="spellEnd"/>
      <w:r w:rsidRPr="002D08A9">
        <w:rPr>
          <w:sz w:val="22"/>
          <w:szCs w:val="22"/>
        </w:rPr>
        <w:t>,</w:t>
      </w:r>
    </w:p>
    <w:p w14:paraId="4716C8B7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Wyposażony w króćce spustu płynnych substratów dowożonych kołowo,</w:t>
      </w:r>
    </w:p>
    <w:p w14:paraId="501EECBF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Wymiary: średnica wewnętrzna ok. 10 m i głębokość 4 m od dna płyty dennej, pojemność brutto ok. 314 m3.</w:t>
      </w:r>
    </w:p>
    <w:p w14:paraId="7177858D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Montaż na linii wyprowadzenia </w:t>
      </w:r>
      <w:proofErr w:type="spellStart"/>
      <w:r w:rsidRPr="002D08A9">
        <w:rPr>
          <w:sz w:val="22"/>
          <w:szCs w:val="22"/>
        </w:rPr>
        <w:t>pofermentu</w:t>
      </w:r>
      <w:proofErr w:type="spellEnd"/>
      <w:r w:rsidRPr="002D08A9">
        <w:rPr>
          <w:sz w:val="22"/>
          <w:szCs w:val="22"/>
        </w:rPr>
        <w:t xml:space="preserve"> do zewnętrznego wyprowadzenia surowych produktów pofermentacyjnych pompy o wydajności nie mniejszej niż (nominalnie) 100 m</w:t>
      </w:r>
      <w:r w:rsidRPr="002D08A9">
        <w:rPr>
          <w:sz w:val="22"/>
          <w:szCs w:val="22"/>
          <w:vertAlign w:val="superscript"/>
        </w:rPr>
        <w:t>3</w:t>
      </w:r>
      <w:r w:rsidRPr="002D08A9">
        <w:rPr>
          <w:sz w:val="22"/>
          <w:szCs w:val="22"/>
        </w:rPr>
        <w:t xml:space="preserve"> na 1 h, dedykowanej wyłącznie potrzebom wyprowadzenia </w:t>
      </w:r>
      <w:proofErr w:type="spellStart"/>
      <w:r w:rsidRPr="002D08A9">
        <w:rPr>
          <w:sz w:val="22"/>
          <w:szCs w:val="22"/>
        </w:rPr>
        <w:t>pofermentu</w:t>
      </w:r>
      <w:proofErr w:type="spellEnd"/>
      <w:r w:rsidRPr="002D08A9">
        <w:rPr>
          <w:sz w:val="22"/>
          <w:szCs w:val="22"/>
        </w:rPr>
        <w:t xml:space="preserve"> (bez możliwości, z uwagi na sanitarne aspekty, używania jej do mediów w procesie) – na rzecz spółki Enea Nowa Energia:</w:t>
      </w:r>
    </w:p>
    <w:p w14:paraId="114B5EF2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>Pompa o wydajności min. 100m</w:t>
      </w:r>
      <w:r w:rsidRPr="002D08A9">
        <w:rPr>
          <w:sz w:val="22"/>
          <w:szCs w:val="22"/>
          <w:vertAlign w:val="superscript"/>
        </w:rPr>
        <w:t>3</w:t>
      </w:r>
      <w:r w:rsidRPr="002D08A9">
        <w:rPr>
          <w:sz w:val="22"/>
          <w:szCs w:val="22"/>
        </w:rPr>
        <w:t>/h posadowiona na płycie betonowej,</w:t>
      </w:r>
    </w:p>
    <w:p w14:paraId="138632F9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Instalacja do miejscowego odbioru po fermentu zakończona przyłączem 6’’PERROT,</w:t>
      </w:r>
    </w:p>
    <w:p w14:paraId="1E5E31C2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Zastosować możliwość lokalnego załączenia pompy w trybie ręcznym jak i automatycznym z panelu </w:t>
      </w:r>
      <w:proofErr w:type="spellStart"/>
      <w:r w:rsidRPr="002D08A9">
        <w:rPr>
          <w:sz w:val="22"/>
          <w:szCs w:val="22"/>
        </w:rPr>
        <w:t>AKPiA</w:t>
      </w:r>
      <w:proofErr w:type="spellEnd"/>
      <w:r w:rsidRPr="002D08A9">
        <w:rPr>
          <w:sz w:val="22"/>
          <w:szCs w:val="22"/>
        </w:rPr>
        <w:t>.</w:t>
      </w:r>
    </w:p>
    <w:p w14:paraId="1EA794E7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Budowę nowych odcinków sieci gazowej zgodnie z PFU i KT oraz wykonanym projektem budowlanym i wykonawczym, o średnicy nie mniejszej niż DN 200 – na rzecz spółki Enea Nowa Energia:</w:t>
      </w:r>
    </w:p>
    <w:p w14:paraId="1E0828F4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Wyprowadzenie ujęcia gazu z obydwu zbiorników fermentacji do gruntu do wspólnego kolektora zasilającego odbiory, doprowadzając sieć transportującą gaz do wybranego punktu w istniejącej sieci gazowej (na trasie w gruncie między zbiornikiem magazynującym nawóz pofermentacyjny, a jednostkami kogeneracji);</w:t>
      </w:r>
    </w:p>
    <w:p w14:paraId="3A17D39C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Zastosować zasuwy zaraz za ujęciem gazu (przed wprowadzeniem do sieci w gruncie) dając możliwość prowadzenia prac serwisowych na każdym ze zbiorników fermentacji niezależnie;</w:t>
      </w:r>
    </w:p>
    <w:p w14:paraId="3F1DDFA3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Zastosować studzienki rewizyjne na trasie sieci gazowej co najmniej na załamaniach, dając możliwość prowadzenia prac serwisowych sieci gazowej w przyszłości oraz studzienki kondensatu na przełamaniach, aby ewentualne wykropliny wilgotności nie stanowiły zatoru na trasie transportu biogazu;</w:t>
      </w:r>
    </w:p>
    <w:p w14:paraId="7819537E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Zastosować kolanka na ujęciu biogazu ze zbiorników fermentacji, ograniczając przedostanie się piany do sieci gazowej.</w:t>
      </w:r>
    </w:p>
    <w:p w14:paraId="7EA4FC76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Przeglądy, kalibrację i legalizację urządzeń (w tym naprawy przy stwierdzeniu awarii lub uszkodzeń, wymiana w przypadku oceny niesprawności do przywrócenia zdolności do pracy) – jeśli nie wskazano inaczej – na rzecz spółki Enea Nowa Energia:</w:t>
      </w:r>
    </w:p>
    <w:p w14:paraId="1A762618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schładzacza biogazu wraz z wymianą płynów,</w:t>
      </w:r>
    </w:p>
    <w:p w14:paraId="41A0177F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Kalibracja i legalizacja wagi samochodowej,</w:t>
      </w:r>
    </w:p>
    <w:p w14:paraId="35B2467E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Wymiana złoża węgla aktywnego,</w:t>
      </w:r>
    </w:p>
    <w:p w14:paraId="13472412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pomp w przepompowni 1 i 2,</w:t>
      </w:r>
    </w:p>
    <w:p w14:paraId="2B3F8747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sprzętu zbiornika wstępnego,</w:t>
      </w:r>
    </w:p>
    <w:p w14:paraId="3F35863C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zasobnika substratów stałych (smarowanie, wymiana oleju, kalibracja wagi, wymiana materiałów eksploatacyjnych, weryfikacja poprawności działania wyświetlacza),</w:t>
      </w:r>
    </w:p>
    <w:p w14:paraId="036B84AA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Przeglądy techniczne zasuw, włazów, klap i zaworów,</w:t>
      </w:r>
    </w:p>
    <w:p w14:paraId="4ECD3191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dmuchawy biogazu (dot. pochodni),</w:t>
      </w:r>
    </w:p>
    <w:p w14:paraId="30F37047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kominiarski,</w:t>
      </w:r>
    </w:p>
    <w:p w14:paraId="06271D27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studni kondensatu,</w:t>
      </w:r>
    </w:p>
    <w:p w14:paraId="08A2FB20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automatyki, styków, sygnałów, łączności,</w:t>
      </w:r>
    </w:p>
    <w:p w14:paraId="6F88C327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sieci elektrycznych zasilających (pomiary),</w:t>
      </w:r>
    </w:p>
    <w:p w14:paraId="6CB3A8C6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wyposażenia BHP;</w:t>
      </w:r>
    </w:p>
    <w:p w14:paraId="435EACA4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Przegląd separatora;</w:t>
      </w:r>
    </w:p>
    <w:p w14:paraId="2211DB08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>Przegląd szczelności i uszczelnienie sieci;</w:t>
      </w:r>
    </w:p>
    <w:p w14:paraId="220C9860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Pozostałe prace tj.:</w:t>
      </w:r>
    </w:p>
    <w:p w14:paraId="583E65E1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Doposażenie węzła ciepła z odrębnymi układami pomiarowymi o nowe odbiorniki – na rzecz spółki Enea Nowa Energia:</w:t>
      </w:r>
    </w:p>
    <w:p w14:paraId="6CD73BC2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Linię higienizacji (zbiornik o pojemności 30 m3 cieczowy z płaszczem grzewczym wodnym)</w:t>
      </w:r>
    </w:p>
    <w:p w14:paraId="181C6535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Kontenerową suszarnię drewna o mocy nominalnej grzewczej nie mniejszej niż 900 </w:t>
      </w:r>
      <w:proofErr w:type="spellStart"/>
      <w:r w:rsidRPr="002D08A9">
        <w:rPr>
          <w:sz w:val="22"/>
          <w:szCs w:val="22"/>
        </w:rPr>
        <w:t>kW.</w:t>
      </w:r>
      <w:proofErr w:type="spellEnd"/>
    </w:p>
    <w:p w14:paraId="1463731B" w14:textId="74BBA804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Rozbudowanie węzła ciepła z związku z zmianą odbiorników ciepła – na rzecz spółki Enea Nowa Energia:</w:t>
      </w:r>
    </w:p>
    <w:p w14:paraId="464385E9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króćce co najmniej DN150 z kolektora w węźle do wyprowadzenia ciepła z licznikiem ciepła na potrzeby suszarni drewna</w:t>
      </w:r>
    </w:p>
    <w:p w14:paraId="277510D7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rezerwowe króćce w kolektorze co najmniej DN100 do zasilenia odbiornika - linii pasteryzacji</w:t>
      </w:r>
    </w:p>
    <w:p w14:paraId="5113CFBC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pompy obiegowe dla zbiorników fermentacji</w:t>
      </w:r>
    </w:p>
    <w:p w14:paraId="00155204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zawory trójdrogowe z serwomechanizmami z funkcją automatycznego % zadania stopnia ich otwarcia do precyzyjnego ustawienia temperatur ogrzewania fermentorów</w:t>
      </w:r>
    </w:p>
    <w:p w14:paraId="4CF81A73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zastosować filtry odmulniki na każdym z obiegów c.o.</w:t>
      </w:r>
    </w:p>
    <w:p w14:paraId="651B940E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pomiar ciągły temperatury każdego obiegu c.o.   </w:t>
      </w:r>
    </w:p>
    <w:p w14:paraId="6E0BC23D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przewidzieć niezbędną armaturę tj. przepustnice ręczne, termometry, manometry, odpowietrzniki automatyczne</w:t>
      </w:r>
    </w:p>
    <w:p w14:paraId="5427803E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Oczyszczenia i uszczelnienia sieci grzewczej zbiorników fermentacyjnych i zalanie czynnikiem grzewczym – na rzecz spółki Enea Nowa Energia;</w:t>
      </w:r>
    </w:p>
    <w:p w14:paraId="0A6F9B86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Uszczelnienia przejść wyłączonych z użytkowania, zabezpieczenie powierzchni naruszonej działaniami modernizacyjnymi w zbiornikach fermentacyjnych i magazynującym nawozy pofermentacyjne – na rzecz spółki Enea Nowa Energia;</w:t>
      </w:r>
    </w:p>
    <w:p w14:paraId="76AE24B7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Przebudowy sieci odwodnienia dróg utwardzonych (odbioru wody deszczowej i roztopowej), zastrzeżeniem że przewiduje się wykonanie 2 systemów kanalizacji: (1) kanalizacji odcieków zbierającej wody opadowe z tzw. stref brudnych tj. obszarów dróg i placów które mogą być zabrudzone przy operacjach wyładunku substratów i/lub wywozu </w:t>
      </w:r>
      <w:proofErr w:type="spellStart"/>
      <w:r w:rsidRPr="002D08A9">
        <w:rPr>
          <w:sz w:val="22"/>
          <w:szCs w:val="22"/>
        </w:rPr>
        <w:t>pofermentu</w:t>
      </w:r>
      <w:proofErr w:type="spellEnd"/>
      <w:r w:rsidRPr="002D08A9">
        <w:rPr>
          <w:sz w:val="22"/>
          <w:szCs w:val="22"/>
        </w:rPr>
        <w:t xml:space="preserve">, ścieki z tych obszarów kierowane będą do procesu fermentacji, oraz (2) kanalizacji zbierającej wody opadowe ze stref czystych tj. utwardzonych obszarów (drogi, place) które nie są narażone na zabrudzenie substratami lub </w:t>
      </w:r>
      <w:proofErr w:type="spellStart"/>
      <w:r w:rsidRPr="002D08A9">
        <w:rPr>
          <w:sz w:val="22"/>
          <w:szCs w:val="22"/>
        </w:rPr>
        <w:t>pofermentem</w:t>
      </w:r>
      <w:proofErr w:type="spellEnd"/>
      <w:r w:rsidRPr="002D08A9">
        <w:rPr>
          <w:sz w:val="22"/>
          <w:szCs w:val="22"/>
        </w:rPr>
        <w:t>. Wody opadowe i roztopowe z tych obszarów kierowane będą do po przejściu przez separator substancji ropopochodnych do zbiornika wód deszczowych – na rzecz spółki Enea Nowa Energia:</w:t>
      </w:r>
    </w:p>
    <w:p w14:paraId="11C373CC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 xml:space="preserve">Wybudowanie zbiorników wody deszczowej w postaci ziemnych </w:t>
      </w:r>
      <w:proofErr w:type="spellStart"/>
      <w:r w:rsidRPr="002D08A9">
        <w:rPr>
          <w:sz w:val="22"/>
          <w:szCs w:val="22"/>
        </w:rPr>
        <w:t>kortenów</w:t>
      </w:r>
      <w:proofErr w:type="spellEnd"/>
      <w:r w:rsidRPr="002D08A9">
        <w:rPr>
          <w:sz w:val="22"/>
          <w:szCs w:val="22"/>
        </w:rPr>
        <w:t xml:space="preserve"> betonowych z rozprowadzaniem wody zebranej na terenach biologicznie czynnych – na rzecz spółki Enea Nowa Energia;</w:t>
      </w:r>
    </w:p>
    <w:p w14:paraId="123E2191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Przebudowa kanalizacji sieci wody opadowej i roztopowej, odcinając jej ujście do zbiornika wstępnego i przekierowanie do budowanych zbiorników wody deszczowej – na rzecz spółki Enea Nowa Energia;</w:t>
      </w:r>
    </w:p>
    <w:p w14:paraId="749A83F3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Zastosowanie separatorów olejowych wody zbieranej z placów manewrowych – na rzecz spółki Enea Nowa Energia;</w:t>
      </w:r>
    </w:p>
    <w:p w14:paraId="66C4FE08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Przeorganizowania pracę istniejącego zbiornika wstępnego – na rzecz spółki Enea Nowa Energia:</w:t>
      </w:r>
    </w:p>
    <w:p w14:paraId="2E526361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wyłącznie dedykując go dla przyjęcia płynnych substratów (ew. płynnej frakcji po separacji mającej na celu uzyskania masy recyrkulacyjnej do uwodnienia w przypadkach braku dostępnych na rynku płynnych substratów w ekonomicznie uzasadnionej cenie), z przeznaczeniem dozowania płynnych świeżych substratów lub mieszaniny z płynną frakcję recyrkulacyjną do komory fermentacji I </w:t>
      </w:r>
      <w:proofErr w:type="spellStart"/>
      <w:r w:rsidRPr="002D08A9">
        <w:rPr>
          <w:sz w:val="22"/>
          <w:szCs w:val="22"/>
        </w:rPr>
        <w:t>i</w:t>
      </w:r>
      <w:proofErr w:type="spellEnd"/>
      <w:r w:rsidRPr="002D08A9">
        <w:rPr>
          <w:sz w:val="22"/>
          <w:szCs w:val="22"/>
        </w:rPr>
        <w:t xml:space="preserve"> II, </w:t>
      </w:r>
    </w:p>
    <w:p w14:paraId="29BB5E5A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zastosować dedykowaną pompę transportującą masę do zbiorników fermentacji I </w:t>
      </w:r>
      <w:proofErr w:type="spellStart"/>
      <w:r w:rsidRPr="002D08A9">
        <w:rPr>
          <w:sz w:val="22"/>
          <w:szCs w:val="22"/>
        </w:rPr>
        <w:t>i</w:t>
      </w:r>
      <w:proofErr w:type="spellEnd"/>
      <w:r w:rsidRPr="002D08A9">
        <w:rPr>
          <w:sz w:val="22"/>
          <w:szCs w:val="22"/>
        </w:rPr>
        <w:t xml:space="preserve"> II,</w:t>
      </w:r>
    </w:p>
    <w:p w14:paraId="141F5B92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zastosować nowe mieszadło zatapialne z falownikiem;</w:t>
      </w:r>
    </w:p>
    <w:p w14:paraId="12089E59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Przeorganizowania procesów przetwarzania produktów pofermentacyjnych, ograniczając separację mechaniczną wyłącznie na potrzeby uzyskania masy recyrkulacyjnej (w przypadku braku na rynku dostępnych płynnych substratów w ekonomicznie uzasadnionej cenie) – na rzecz spółki Enea Nowa Energia;</w:t>
      </w:r>
    </w:p>
    <w:p w14:paraId="6FAF798C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Zorganizowanie, niezależnie od możliwości uwadniania płynną frakcją po separacji, systemu obiegu masy w sposób umożliwiający uwodnienia surowej mieszanki surowym produktem pofermentacyjnym (bez separacji) – na rzecz spółki Enea Nowa Energia;</w:t>
      </w:r>
    </w:p>
    <w:p w14:paraId="39D6D90F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Rozbudowy automatyki systemów sterowania dołożonych urządzeń (falowniki, </w:t>
      </w:r>
      <w:proofErr w:type="spellStart"/>
      <w:r w:rsidRPr="002D08A9">
        <w:rPr>
          <w:sz w:val="22"/>
          <w:szCs w:val="22"/>
        </w:rPr>
        <w:t>soft</w:t>
      </w:r>
      <w:proofErr w:type="spellEnd"/>
      <w:r w:rsidRPr="002D08A9">
        <w:rPr>
          <w:sz w:val="22"/>
          <w:szCs w:val="22"/>
        </w:rPr>
        <w:t>-starty) – na rzecz spółki Enea Nowa Energia,</w:t>
      </w:r>
    </w:p>
    <w:p w14:paraId="0251EF31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Opracowania i włączenia do funkcjonowania systemu SCADA – na rzecz spółki Enea Nowa Energia z zastrzeżeniem, że prace dotyczące funkcjonowania nowej jednostki kogeneracji przypisane są jako zlecone przez spółkę ENEBIOGAZ 1 odpowiednio,</w:t>
      </w:r>
    </w:p>
    <w:p w14:paraId="1C51DD01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Wykonania prac budowlanych uzupełniających ubytki, konserwujące powierzchnię ruchu drogowego wewnątrzzakładowego – na rzecz spółki Enea Nowa Energia,</w:t>
      </w:r>
    </w:p>
    <w:p w14:paraId="0B983DAB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Przeniesienie trasy przebiegu sieci technicznych będących w kolizji z planowanym posadowieniem nowych obiektów budowlanych lub sieci – na rzecz spółki Enea Nowa Energia;</w:t>
      </w:r>
    </w:p>
    <w:p w14:paraId="6A828C7B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Przebudowanie sieci technologiczne, integrując wszystkie zbiorniki z przepompowniami – na rzecz spółki Enea Nowa Energia,</w:t>
      </w:r>
    </w:p>
    <w:p w14:paraId="2D542FD7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>Wykonania sieci zasilających i sygnałowych do pełnego sterowania Biogazownią Gorzesław po rozbudowie (modernizacji) – na rzecz spółki Enea Nowa Energia,</w:t>
      </w:r>
    </w:p>
    <w:p w14:paraId="11BC06D4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Wykonanie/dostarczenie Wyposażenia każdego ze zbiorników w rezerwowy króciec z zasuwą na potrzeby awaryjnego opróżniania każdego ze zbiorników (od strony wewnętrznej w zbiorniku z zintegrowaną i szczelną rurą poboru, zanurzoną poniżej dolnego poziomu włazu w danym zbiorniku – na rzecz spółki Enea Nowa Energia,</w:t>
      </w:r>
    </w:p>
    <w:p w14:paraId="495712E4" w14:textId="53241DCF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Zamontowania układy pomiarowe tj</w:t>
      </w:r>
      <w:r w:rsidR="00FB532F">
        <w:rPr>
          <w:sz w:val="22"/>
          <w:szCs w:val="22"/>
        </w:rPr>
        <w:t>.</w:t>
      </w:r>
      <w:r w:rsidRPr="002D08A9">
        <w:rPr>
          <w:sz w:val="22"/>
          <w:szCs w:val="22"/>
        </w:rPr>
        <w:t>:</w:t>
      </w:r>
    </w:p>
    <w:p w14:paraId="2C7C83CE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Jakości gazu surowego – na rzecz spółki Enea Nowa Energia,</w:t>
      </w:r>
    </w:p>
    <w:p w14:paraId="0BA7D5FE" w14:textId="2F79F872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pochodni – na rzecz spółki Enea Nowa Energia,</w:t>
      </w:r>
    </w:p>
    <w:p w14:paraId="66BFB7E1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Ilości zużywanej energii elektrycznej, odrębnie:</w:t>
      </w:r>
    </w:p>
    <w:p w14:paraId="63FE108C" w14:textId="77777777" w:rsidR="00E21B0C" w:rsidRPr="002D08A9" w:rsidRDefault="00E21B0C" w:rsidP="002D08A9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Na potrzeby wytwarzania i wstępnego uzdatniania biogazu – na rzecz spółki Enea Nowa Energia,</w:t>
      </w:r>
    </w:p>
    <w:p w14:paraId="044D6980" w14:textId="4212715D" w:rsidR="00E21B0C" w:rsidRPr="002D08A9" w:rsidRDefault="00E21B0C" w:rsidP="002D08A9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zużycie ciepła na potrzeby technologiczne fermentacji – na rzecz spółki Enea Nowa Energia.</w:t>
      </w:r>
    </w:p>
    <w:p w14:paraId="28D4FE83" w14:textId="3830A5BB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Wykorzystania zasilania istniejących urządzeń do zasilania nowo wprowadzanych, a w przypadku braków doprowadzić ewentualne zasilanie brakujące – na rzecz spółki Enea Nowa Energia;</w:t>
      </w:r>
    </w:p>
    <w:p w14:paraId="0E34A51C" w14:textId="3D52D81E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Skomunikowania systemów, sieci, urządzenia w jednolitą całość funkcjonalnej Biogazowni Gorzesław po modernizacji;</w:t>
      </w:r>
    </w:p>
    <w:p w14:paraId="14AEDB85" w14:textId="2E39C0EE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Włączenia wszystkich obiektów i sieci (nie dotyczy zbiornika na nieczystości) w jeden system zarządzania i komunikacji;</w:t>
      </w:r>
    </w:p>
    <w:p w14:paraId="0B4E861B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Rozruchu z badaniem szczelności instalacji i zbiorników procesowych – na rzecz spółki Enea Nowa Energia;</w:t>
      </w:r>
    </w:p>
    <w:p w14:paraId="5E7B7A05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Rozruchu biotechnologicznego – na rzecz spółki Enea Nowa Energia;</w:t>
      </w:r>
    </w:p>
    <w:p w14:paraId="55A5919A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Dostawy i posadowienia zbiornika na wodę w celach PPOŻ, jeśli będzie wymagany przepisami prawa – na rzecz spółki Enea Nowa Energia;</w:t>
      </w:r>
    </w:p>
    <w:p w14:paraId="4BCFA87F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Wykonania drogi dojazdowe wewnątrzzakładowe przeciwpożarowe, jeśli będą wymagane przepisami prawa – na rzecz spółki Enea Nowa Energia;</w:t>
      </w:r>
    </w:p>
    <w:p w14:paraId="787FEB06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Wykonania robót ziemnych w zakresie prac budowlanych i towarzyszących (na rzecz odpowiedniego Podmiotu Zamawiającego co do zakresu wyżej opisanego).</w:t>
      </w:r>
    </w:p>
    <w:p w14:paraId="5E682BAE" w14:textId="17071A69" w:rsidR="00E21B0C" w:rsidRPr="008542F7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Opracowanie dokumentacji </w:t>
      </w:r>
      <w:r w:rsidRPr="008542F7">
        <w:rPr>
          <w:sz w:val="22"/>
          <w:szCs w:val="22"/>
        </w:rPr>
        <w:t>projektowej, o której mowa w §3</w:t>
      </w:r>
      <w:r w:rsidR="008542F7" w:rsidRPr="008542F7">
        <w:rPr>
          <w:sz w:val="22"/>
          <w:szCs w:val="22"/>
        </w:rPr>
        <w:t>, §4</w:t>
      </w:r>
      <w:r w:rsidRPr="008542F7">
        <w:rPr>
          <w:sz w:val="22"/>
          <w:szCs w:val="22"/>
        </w:rPr>
        <w:t xml:space="preserve"> i §5</w:t>
      </w:r>
      <w:r w:rsidR="0014417E" w:rsidRPr="008542F7">
        <w:rPr>
          <w:sz w:val="22"/>
          <w:szCs w:val="22"/>
        </w:rPr>
        <w:t xml:space="preserve"> Umowy</w:t>
      </w:r>
      <w:r w:rsidRPr="008542F7">
        <w:rPr>
          <w:sz w:val="22"/>
          <w:szCs w:val="22"/>
        </w:rPr>
        <w:t>.</w:t>
      </w:r>
    </w:p>
    <w:p w14:paraId="46B4999B" w14:textId="77777777" w:rsidR="0014417E" w:rsidRPr="002D08A9" w:rsidRDefault="0014417E" w:rsidP="002D08A9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0718047B" w14:textId="007C65FF" w:rsidR="00B56356" w:rsidRPr="00736382" w:rsidRDefault="00B56356" w:rsidP="00B56356">
      <w:pPr>
        <w:pStyle w:val="Akapitzlist"/>
        <w:numPr>
          <w:ilvl w:val="0"/>
          <w:numId w:val="4"/>
        </w:numPr>
        <w:spacing w:line="360" w:lineRule="auto"/>
        <w:rPr>
          <w:b/>
          <w:bCs/>
          <w:sz w:val="22"/>
          <w:szCs w:val="22"/>
        </w:rPr>
      </w:pPr>
      <w:r w:rsidRPr="00736382">
        <w:rPr>
          <w:b/>
          <w:bCs/>
          <w:sz w:val="22"/>
          <w:szCs w:val="22"/>
        </w:rPr>
        <w:t xml:space="preserve">Kamienie Milowe w Etapie </w:t>
      </w:r>
      <w:r w:rsidR="00796EDF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, Enea Nowa Energia</w:t>
      </w:r>
    </w:p>
    <w:p w14:paraId="1D6934C3" w14:textId="77777777" w:rsidR="0014417E" w:rsidRPr="002D08A9" w:rsidRDefault="0014417E" w:rsidP="00225F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Demontaż wszystkich urządzeń z utylizacją elementów tego wymagających i zabezpieczeniem elementów dekompletowanych i pozostawianych na terenie Biogazowi Gorzesław w uzgodnionym miejscu z Zamawiającym: 2,5% Wynagrodzenia Przedmiotu Umowy Etapu 2;</w:t>
      </w:r>
    </w:p>
    <w:p w14:paraId="6819EB36" w14:textId="77777777" w:rsidR="0014417E" w:rsidRPr="002D08A9" w:rsidRDefault="0014417E" w:rsidP="00225F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>Wykonanie prac fundamentowych pod zabudowę, budynkami technicznymi i urządzeń, w tym kontenerami, pod montaż urządzeń (suszarni, linii higienizacji, zbiornika wstępnego homogenizacji): 2,5% Wynagrodzenia Przedmiotu Umowy Etapu 2;</w:t>
      </w:r>
    </w:p>
    <w:p w14:paraId="456176AB" w14:textId="77777777" w:rsidR="0014417E" w:rsidRPr="002D08A9" w:rsidRDefault="0014417E" w:rsidP="00225F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Wykonanie kompletnego w zakresie żelbetowym zbiornika wstępnego surowców (homogenizacji) przetwarzania surowców: 5% Wynagrodzenia Przedmiotu Umowy Etapu 2;</w:t>
      </w:r>
    </w:p>
    <w:p w14:paraId="47126838" w14:textId="77777777" w:rsidR="0014417E" w:rsidRPr="002D08A9" w:rsidRDefault="0014417E" w:rsidP="00225F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Wykonanie kompletnej wymiany urządzeń, systemów, czujników i urządzeń z gotowością pracy operacyjnej czterech zbiorników (w tym trzech istniejących i jednego nowo projektowanego, w tym jednego wstępnego homogenizacji, dwóch fermentacyjnych, jednego magazynowego): 30% Wynagrodzenia Przedmiotu Umowy Etapu 2;</w:t>
      </w:r>
    </w:p>
    <w:p w14:paraId="28350DFA" w14:textId="7FB47EAB" w:rsidR="0014417E" w:rsidRPr="002D08A9" w:rsidRDefault="0014417E" w:rsidP="00225F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Dostawa i montaż wszystkich urządzeń, linii technologicznych i systemów poza tymi, o których mowa w pkt. „</w:t>
      </w:r>
      <w:r w:rsidR="00DA3EA5">
        <w:rPr>
          <w:sz w:val="22"/>
          <w:szCs w:val="22"/>
        </w:rPr>
        <w:t>4</w:t>
      </w:r>
      <w:r w:rsidRPr="002D08A9">
        <w:rPr>
          <w:sz w:val="22"/>
          <w:szCs w:val="22"/>
        </w:rPr>
        <w:t>”: 25% Wynagrodzenia Przedmiotu Umowy Etapu 2;</w:t>
      </w:r>
    </w:p>
    <w:p w14:paraId="1665FD4D" w14:textId="77777777" w:rsidR="0014417E" w:rsidRPr="002D08A9" w:rsidRDefault="0014417E" w:rsidP="00225F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Wykonanie wszystkich sieci między obiektowych (naziemnych i podziemnych, w tym sygnałowych i zasilających): 20% Wynagrodzenia Przedmiotu Umowy;</w:t>
      </w:r>
    </w:p>
    <w:p w14:paraId="61B31F67" w14:textId="77777777" w:rsidR="0014417E" w:rsidRPr="002D08A9" w:rsidRDefault="0014417E" w:rsidP="00225F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 pozwolenia na użytkowanie: 5% Wynagrodzenia Przedmiotu Umowy Etapu 2;</w:t>
      </w:r>
    </w:p>
    <w:p w14:paraId="2FC8A79B" w14:textId="77777777" w:rsidR="0014417E" w:rsidRPr="002D08A9" w:rsidRDefault="0014417E" w:rsidP="00225F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Wykonanie rozruchu technologicznego pozwalającego na uruchomienie pochodni w trybie ciągłym przez okres nie krótszy niż 12 h lub jednostki kogeneracji (realizowanej przez Wykonawcę na rzecz ENEBIOGAZ 1): 10% Wynagrodzenia Przedmiotu Umowy Etapu 2.</w:t>
      </w:r>
    </w:p>
    <w:p w14:paraId="5DF76BFE" w14:textId="77777777" w:rsidR="0014417E" w:rsidRPr="002D08A9" w:rsidRDefault="0014417E" w:rsidP="002D08A9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14417E" w:rsidRPr="002D08A9" w:rsidSect="003D125A">
      <w:footerReference w:type="even" r:id="rId7"/>
      <w:footerReference w:type="default" r:id="rId8"/>
      <w:pgSz w:w="11906" w:h="16838"/>
      <w:pgMar w:top="1304" w:right="1077" w:bottom="130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B6D0" w14:textId="77777777" w:rsidR="005A7B31" w:rsidRDefault="005A7B31" w:rsidP="00E21B0C">
      <w:r>
        <w:separator/>
      </w:r>
    </w:p>
  </w:endnote>
  <w:endnote w:type="continuationSeparator" w:id="0">
    <w:p w14:paraId="47A3BE1B" w14:textId="77777777" w:rsidR="005A7B31" w:rsidRDefault="005A7B31" w:rsidP="00E2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435744989"/>
      <w:docPartObj>
        <w:docPartGallery w:val="Page Numbers (Bottom of Page)"/>
        <w:docPartUnique/>
      </w:docPartObj>
    </w:sdtPr>
    <w:sdtContent>
      <w:p w14:paraId="1F390EDA" w14:textId="77777777" w:rsidR="00E21B0C" w:rsidRDefault="00E21B0C" w:rsidP="00115F0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AFB94E3" w14:textId="77777777" w:rsidR="00E21B0C" w:rsidRDefault="00E21B0C" w:rsidP="00E21B0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ascii="Times New Roman" w:hAnsi="Times New Roman" w:cs="Times New Roman"/>
        <w:sz w:val="22"/>
        <w:szCs w:val="22"/>
      </w:rPr>
      <w:id w:val="-1422339246"/>
      <w:docPartObj>
        <w:docPartGallery w:val="Page Numbers (Bottom of Page)"/>
        <w:docPartUnique/>
      </w:docPartObj>
    </w:sdtPr>
    <w:sdtContent>
      <w:p w14:paraId="1D0000E9" w14:textId="77777777" w:rsidR="00E21B0C" w:rsidRPr="00EC3930" w:rsidRDefault="00E21B0C" w:rsidP="00115F0A">
        <w:pPr>
          <w:pStyle w:val="Stopka"/>
          <w:framePr w:wrap="none" w:vAnchor="text" w:hAnchor="margin" w:xAlign="right" w:y="1"/>
          <w:rPr>
            <w:rStyle w:val="Numerstrony"/>
            <w:rFonts w:ascii="Times New Roman" w:hAnsi="Times New Roman" w:cs="Times New Roman"/>
            <w:sz w:val="22"/>
            <w:szCs w:val="22"/>
          </w:rPr>
        </w:pPr>
        <w:r w:rsidRPr="00EC3930">
          <w:rPr>
            <w:rStyle w:val="Numerstrony"/>
            <w:rFonts w:ascii="Times New Roman" w:hAnsi="Times New Roman" w:cs="Times New Roman"/>
            <w:sz w:val="22"/>
            <w:szCs w:val="22"/>
          </w:rPr>
          <w:fldChar w:fldCharType="begin"/>
        </w:r>
        <w:r w:rsidRPr="00EC3930">
          <w:rPr>
            <w:rStyle w:val="Numerstrony"/>
            <w:rFonts w:ascii="Times New Roman" w:hAnsi="Times New Roman" w:cs="Times New Roman"/>
            <w:sz w:val="22"/>
            <w:szCs w:val="22"/>
          </w:rPr>
          <w:instrText xml:space="preserve"> PAGE </w:instrText>
        </w:r>
        <w:r w:rsidRPr="00EC3930">
          <w:rPr>
            <w:rStyle w:val="Numerstrony"/>
            <w:rFonts w:ascii="Times New Roman" w:hAnsi="Times New Roman" w:cs="Times New Roman"/>
            <w:sz w:val="22"/>
            <w:szCs w:val="22"/>
          </w:rPr>
          <w:fldChar w:fldCharType="separate"/>
        </w:r>
        <w:r w:rsidRPr="00EC3930">
          <w:rPr>
            <w:rStyle w:val="Numerstrony"/>
            <w:rFonts w:ascii="Times New Roman" w:hAnsi="Times New Roman" w:cs="Times New Roman"/>
            <w:noProof/>
            <w:sz w:val="22"/>
            <w:szCs w:val="22"/>
          </w:rPr>
          <w:t>1</w:t>
        </w:r>
        <w:r w:rsidRPr="00EC3930">
          <w:rPr>
            <w:rStyle w:val="Numerstrony"/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242F9A27" w14:textId="77777777" w:rsidR="00E21B0C" w:rsidRDefault="00E21B0C" w:rsidP="00E21B0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F4F56" w14:textId="77777777" w:rsidR="005A7B31" w:rsidRDefault="005A7B31" w:rsidP="00E21B0C">
      <w:r>
        <w:separator/>
      </w:r>
    </w:p>
  </w:footnote>
  <w:footnote w:type="continuationSeparator" w:id="0">
    <w:p w14:paraId="01A1B9EE" w14:textId="77777777" w:rsidR="005A7B31" w:rsidRDefault="005A7B31" w:rsidP="00E21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365BB"/>
    <w:multiLevelType w:val="hybridMultilevel"/>
    <w:tmpl w:val="94EEF40E"/>
    <w:lvl w:ilvl="0" w:tplc="41E091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764921"/>
    <w:multiLevelType w:val="hybridMultilevel"/>
    <w:tmpl w:val="4174540C"/>
    <w:lvl w:ilvl="0" w:tplc="D22A2FE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D70F30"/>
    <w:multiLevelType w:val="hybridMultilevel"/>
    <w:tmpl w:val="D988F4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A113A7"/>
    <w:multiLevelType w:val="hybridMultilevel"/>
    <w:tmpl w:val="E59407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AB1236"/>
    <w:multiLevelType w:val="hybridMultilevel"/>
    <w:tmpl w:val="D988F4E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0415001B">
      <w:start w:val="1"/>
      <w:numFmt w:val="lowerRoman"/>
      <w:lvlText w:val="%4."/>
      <w:lvlJc w:val="righ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DFD488B"/>
    <w:multiLevelType w:val="hybridMultilevel"/>
    <w:tmpl w:val="D988F4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4B04B2"/>
    <w:multiLevelType w:val="hybridMultilevel"/>
    <w:tmpl w:val="8A68448A"/>
    <w:lvl w:ilvl="0" w:tplc="AFBC4B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C42AAC"/>
    <w:multiLevelType w:val="hybridMultilevel"/>
    <w:tmpl w:val="6C961ECC"/>
    <w:lvl w:ilvl="0" w:tplc="0415001B">
      <w:start w:val="1"/>
      <w:numFmt w:val="low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num w:numId="1" w16cid:durableId="1054348700">
    <w:abstractNumId w:val="4"/>
  </w:num>
  <w:num w:numId="2" w16cid:durableId="1244218778">
    <w:abstractNumId w:val="0"/>
  </w:num>
  <w:num w:numId="3" w16cid:durableId="535234822">
    <w:abstractNumId w:val="6"/>
  </w:num>
  <w:num w:numId="4" w16cid:durableId="1782921307">
    <w:abstractNumId w:val="1"/>
  </w:num>
  <w:num w:numId="5" w16cid:durableId="1383677544">
    <w:abstractNumId w:val="2"/>
  </w:num>
  <w:num w:numId="6" w16cid:durableId="1291938472">
    <w:abstractNumId w:val="5"/>
  </w:num>
  <w:num w:numId="7" w16cid:durableId="67270256">
    <w:abstractNumId w:val="7"/>
  </w:num>
  <w:num w:numId="8" w16cid:durableId="4800800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0C"/>
    <w:rsid w:val="0001084A"/>
    <w:rsid w:val="000A63ED"/>
    <w:rsid w:val="00134BB5"/>
    <w:rsid w:val="0014417E"/>
    <w:rsid w:val="00223B5C"/>
    <w:rsid w:val="00225F7E"/>
    <w:rsid w:val="002D08A9"/>
    <w:rsid w:val="003A57D5"/>
    <w:rsid w:val="003B1BC1"/>
    <w:rsid w:val="003D125A"/>
    <w:rsid w:val="00437FA2"/>
    <w:rsid w:val="00463DD3"/>
    <w:rsid w:val="004D3F6C"/>
    <w:rsid w:val="004E1596"/>
    <w:rsid w:val="0051415B"/>
    <w:rsid w:val="005855A2"/>
    <w:rsid w:val="005A7B31"/>
    <w:rsid w:val="006852F0"/>
    <w:rsid w:val="006A0E7D"/>
    <w:rsid w:val="00767AEF"/>
    <w:rsid w:val="00796EDF"/>
    <w:rsid w:val="008542F7"/>
    <w:rsid w:val="0086345D"/>
    <w:rsid w:val="00863DB7"/>
    <w:rsid w:val="00900D06"/>
    <w:rsid w:val="009049B7"/>
    <w:rsid w:val="00A062E5"/>
    <w:rsid w:val="00B56356"/>
    <w:rsid w:val="00C94C9F"/>
    <w:rsid w:val="00DA3EA5"/>
    <w:rsid w:val="00DB6EE4"/>
    <w:rsid w:val="00E215A4"/>
    <w:rsid w:val="00E21B0C"/>
    <w:rsid w:val="00EC3930"/>
    <w:rsid w:val="00F93740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547FE7"/>
  <w15:chartTrackingRefBased/>
  <w15:docId w15:val="{2A4126C7-F216-904A-AD8E-A04B8466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Lista - poziom 1,Tabela - naglowek,SM-nagłówek2,CP-UC,Tytuły,Lista num,Wypunktowanie,Conclusion de partie,Body Texte,List Paragraph1,Para. de Liste,Akapit z listą;1_literowka,Literowanie,1_literowka,RR PGE Akapit z listą"/>
    <w:basedOn w:val="Normalny"/>
    <w:link w:val="AkapitzlistZnak"/>
    <w:uiPriority w:val="34"/>
    <w:qFormat/>
    <w:rsid w:val="00E21B0C"/>
    <w:pPr>
      <w:suppressAutoHyphens/>
      <w:ind w:left="720"/>
      <w:contextualSpacing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semiHidden/>
    <w:unhideWhenUsed/>
    <w:rsid w:val="00E21B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B0C"/>
    <w:pPr>
      <w:widowControl w:val="0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B0C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AkapitzlistZnak">
    <w:name w:val="Akapit z listą Znak"/>
    <w:aliases w:val="lp1 Znak,Preambuła Znak,Lista - poziom 1 Znak,Tabela - naglowek Znak,SM-nagłówek2 Znak,CP-UC Znak,Tytuły Znak,Lista num Znak,Wypunktowanie Znak,Conclusion de partie Znak,Body Texte Znak,List Paragraph1 Znak,Para. de Liste Znak"/>
    <w:link w:val="Akapitzlist"/>
    <w:uiPriority w:val="34"/>
    <w:qFormat/>
    <w:locked/>
    <w:rsid w:val="00E21B0C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21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B0C"/>
  </w:style>
  <w:style w:type="character" w:styleId="Numerstrony">
    <w:name w:val="page number"/>
    <w:basedOn w:val="Domylnaczcionkaakapitu"/>
    <w:uiPriority w:val="99"/>
    <w:semiHidden/>
    <w:unhideWhenUsed/>
    <w:rsid w:val="00E21B0C"/>
  </w:style>
  <w:style w:type="character" w:customStyle="1" w:styleId="Bodytext2">
    <w:name w:val="Body text (2)_"/>
    <w:link w:val="Bodytext20"/>
    <w:rsid w:val="0014417E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4417E"/>
    <w:pPr>
      <w:widowControl w:val="0"/>
      <w:shd w:val="clear" w:color="auto" w:fill="FFFFFF"/>
      <w:spacing w:before="1060" w:line="246" w:lineRule="exact"/>
      <w:ind w:hanging="1580"/>
      <w:jc w:val="center"/>
    </w:pPr>
    <w:rPr>
      <w:rFonts w:ascii="Arial" w:eastAsia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EC39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3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3029</Words>
  <Characters>20265</Characters>
  <Application>Microsoft Office Word</Application>
  <DocSecurity>0</DocSecurity>
  <Lines>460</Lines>
  <Paragraphs>319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Ćwil</dc:creator>
  <cp:keywords/>
  <dc:description/>
  <cp:lastModifiedBy>Michał Ćwil</cp:lastModifiedBy>
  <cp:revision>8</cp:revision>
  <dcterms:created xsi:type="dcterms:W3CDTF">2024-11-04T07:38:00Z</dcterms:created>
  <dcterms:modified xsi:type="dcterms:W3CDTF">2024-11-04T08:07:00Z</dcterms:modified>
</cp:coreProperties>
</file>